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3B" w:rsidRDefault="0055473B" w:rsidP="00B76388">
      <w:pPr>
        <w:shd w:val="clear" w:color="auto" w:fill="FFFFFF"/>
        <w:spacing w:after="0" w:line="240" w:lineRule="auto"/>
        <w:ind w:right="20" w:firstLine="70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13327" cy="841842"/>
            <wp:effectExtent l="0" t="0" r="6350" b="0"/>
            <wp:docPr id="4" name="Рисунок 4" descr="https://autismhealthcare.org/wp-content/uploads/2019/09/autism-puzzle-b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utismhealthcare.org/wp-content/uploads/2019/09/autism-puzzle-banner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43" cy="85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38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</w:p>
    <w:p w:rsidR="00B76388" w:rsidRPr="00B76388" w:rsidRDefault="00B76388" w:rsidP="00B76388">
      <w:pPr>
        <w:shd w:val="clear" w:color="auto" w:fill="FFFFFF"/>
        <w:spacing w:after="0" w:line="240" w:lineRule="auto"/>
        <w:ind w:right="20" w:firstLine="70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B7638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Дети с РАС в образовательном пространстве</w:t>
      </w:r>
    </w:p>
    <w:p w:rsidR="00B76388" w:rsidRDefault="00B76388" w:rsidP="002A50A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6419" w:rsidRPr="002D605F" w:rsidRDefault="008E6419" w:rsidP="002D605F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Расст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ройства аутистического спектра - 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широкий спектр различных нарушений в развитии, приводящих к нарушению нормального взаимодействия ребенка с окружающим миром, в том числе к нарушению социального взаимодействия, к изоляции и неспособности самостоятельно жить в обществе. </w:t>
      </w:r>
    </w:p>
    <w:p w:rsidR="008E6419" w:rsidRPr="002D605F" w:rsidRDefault="008E6419" w:rsidP="002D605F">
      <w:pPr>
        <w:shd w:val="clear" w:color="auto" w:fill="FFFFFF"/>
        <w:spacing w:after="0" w:line="240" w:lineRule="auto"/>
        <w:ind w:right="20" w:firstLine="708"/>
        <w:jc w:val="both"/>
        <w:rPr>
          <w:sz w:val="28"/>
          <w:szCs w:val="28"/>
        </w:rPr>
      </w:pP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Причина и природа РАС пока не вполне ясна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несмотря на множество результатов исследований. Варианты РАС варьируются от самых тяжелых форм, требующих пожизненного сопровождения до легких, допускающих практически полное восстановление и совершенно полноценную жизнь в обществе. Однако, всех этих детей объединяет общее выраженное нарушение в области социального взаимодействия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Многие из этих детей могут производить впечатление 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глубоко умственно отсталых, так как не владеют</w:t>
      </w:r>
      <w:r w:rsidR="002D605F"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вербальной формой коммуникации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могут не желать</w:t>
      </w:r>
      <w:r w:rsidR="002D605F"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отвечать на вопросы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Однако, квалифицированные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специалисты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используя, например, альтернативные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коммуникации могут создать условия, в которых такой ребенок научится общению с другими людьми в полной мере, демонстрируя зачастую полную сохранность в интеллектуальной сфере.</w:t>
      </w:r>
      <w:r w:rsidRPr="002D605F">
        <w:rPr>
          <w:sz w:val="28"/>
          <w:szCs w:val="28"/>
        </w:rPr>
        <w:t xml:space="preserve"> </w:t>
      </w:r>
    </w:p>
    <w:p w:rsidR="008E6419" w:rsidRPr="002D605F" w:rsidRDefault="008E6419" w:rsidP="002D605F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РАС своевременное начало коррекции и социализации играет важнейшую роль.</w:t>
      </w:r>
    </w:p>
    <w:p w:rsidR="008E6419" w:rsidRPr="002D605F" w:rsidRDefault="008E6419" w:rsidP="002D605F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раннем выявлении детей группы риска по РАС, раннем начале коррекции и социализации и создании системы непрерывного, межведомственного сопровождения:</w:t>
      </w:r>
    </w:p>
    <w:p w:rsidR="008E6419" w:rsidRPr="002D605F" w:rsidRDefault="008E6419" w:rsidP="002D605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right="20"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60% детей с РАС (в соответствии с современными диагностическими критериями) имеют возможность достижения высокофункционального уровня, подразумевающего возможность полноценной жизни в обществе без или с незначительным сопровождением. В этом случае к активной жизни в обществе возвращается не только сам человек с РАС</w:t>
      </w:r>
      <w:r w:rsid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и его родители.</w:t>
      </w:r>
    </w:p>
    <w:p w:rsidR="008E6419" w:rsidRPr="002A50A3" w:rsidRDefault="008E6419" w:rsidP="008E641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отсутствии ранней диагностики, коррекции и дальнейшего сопровождения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РАС, как правило, становится пожизненным </w:t>
      </w:r>
      <w:r w:rsidR="002A50A3"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инвалидизирующими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нарушением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E6419" w:rsidRPr="002D605F" w:rsidRDefault="008E6419" w:rsidP="002D605F">
      <w:pPr>
        <w:shd w:val="clear" w:color="auto" w:fill="FFFFFF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международной практике применяется множество успешных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образовательных моделей для детей с РАС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имеющих особые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 потребности.</w:t>
      </w:r>
    </w:p>
    <w:p w:rsidR="008E6419" w:rsidRPr="002D605F" w:rsidRDefault="008E6419" w:rsidP="002D605F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Необходимое условие: наличие </w:t>
      </w:r>
      <w:r w:rsidRPr="002D6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различных образовательных моделей</w:t>
      </w:r>
    </w:p>
    <w:p w:rsidR="008E6419" w:rsidRPr="002D605F" w:rsidRDefault="008E6419" w:rsidP="008E641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сочетании с </w:t>
      </w:r>
      <w:r w:rsidRPr="002D6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индивидуальным подходом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каждому ребенку, к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в</w:t>
      </w:r>
    </w:p>
    <w:p w:rsidR="008E6419" w:rsidRPr="002D605F" w:rsidRDefault="008E6419" w:rsidP="008E641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условиях инклюзии, так и в условиях специального, коррекционного</w:t>
      </w:r>
      <w:r w:rsid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="002D605F"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D605F" w:rsidRPr="002D605F" w:rsidRDefault="002D605F" w:rsidP="002D605F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Образовательные модели организуются посредством создания необходимых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условий для обеспечения наибольшего эффекта от процесса обучения для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каждого возрастного и функционального уровня ребенка с РАС. В зависимости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особенностей развития ребенка может быть избрана как коррекционная, так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инклюзивная модель.</w:t>
      </w:r>
    </w:p>
    <w:p w:rsidR="008E6419" w:rsidRDefault="008E6419" w:rsidP="008E641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3453EA" wp14:editId="3C93F514">
            <wp:extent cx="5902325" cy="32924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419" w:rsidRPr="00B76388" w:rsidRDefault="002D605F" w:rsidP="0055473B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этом виды </w:t>
      </w:r>
      <w:proofErr w:type="spellStart"/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тью</w:t>
      </w:r>
      <w:r w:rsidR="00B76388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орской</w:t>
      </w:r>
      <w:proofErr w:type="spellEnd"/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поддержки могут варьироваться в соответствии с</w:t>
      </w:r>
      <w:r w:rsidR="00B76388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нуждами конкретного ребенка: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D605F" w:rsidRPr="00B76388" w:rsidRDefault="00B76388" w:rsidP="002419EB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ьютор - дополнительный педагог, сопровождающий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 в общем образовательном процессе и занимающийся с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ним ин</w:t>
      </w:r>
      <w:r w:rsid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дивидуально по особой программе;</w:t>
      </w:r>
    </w:p>
    <w:p w:rsidR="002D605F" w:rsidRPr="00B76388" w:rsidRDefault="00B76388" w:rsidP="002419EB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ьютор – педагог, сопровождающий ребенка в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инклюзивной среде и обеспечивающий максимальное включение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ребенка </w:t>
      </w:r>
      <w:r w:rsid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общий образовательный процесс;</w:t>
      </w:r>
    </w:p>
    <w:p w:rsidR="008E6419" w:rsidRPr="00B76388" w:rsidRDefault="00B76388" w:rsidP="002419EB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ьютор – педагог-куратор, обеспечивающий поддержку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подростка или студента с высокофункциональной формой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аутизма или синдромом Аспергера в процессе обучения в</w:t>
      </w:r>
      <w:r w:rsid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старших классах, кол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едже или институте. Помощь в организации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«жизненного пространства», включая социальное взаимодействие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5F"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жизнь в общежитии.</w:t>
      </w:r>
    </w:p>
    <w:p w:rsidR="008E6419" w:rsidRPr="00B76388" w:rsidRDefault="00B76388" w:rsidP="0055473B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тьютора – привести инклюзивный процесс к максимальной эффективности, для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достижения личных целей ребенка, которого он сопровождает.</w:t>
      </w:r>
    </w:p>
    <w:p w:rsidR="00B76388" w:rsidRPr="0055473B" w:rsidRDefault="00B76388" w:rsidP="0055473B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Коррекционная работа педагогов заключается в необходимости сочетать коррекционное воздействие с созданием условий для адаптации детей с РАС в среде обычных детей, ориентируясь на зону ближайшего развития. </w:t>
      </w:r>
    </w:p>
    <w:p w:rsidR="008E6419" w:rsidRPr="0055473B" w:rsidRDefault="00B76388" w:rsidP="0055473B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 помнить, что ни один самый гениальный педагог не может научить ребёнка</w:t>
      </w:r>
      <w:r w:rsid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детскому поведению. Обучение социальным навыкам более эффективно происходит в среде нейротипичных детей (</w:t>
      </w:r>
      <w:r w:rsidR="005547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="0055473B">
        <w:rPr>
          <w:rFonts w:ascii="Times New Roman" w:hAnsi="Times New Roman" w:cs="Times New Roman"/>
          <w:sz w:val="28"/>
          <w:szCs w:val="28"/>
          <w:shd w:val="clear" w:color="auto" w:fill="FFFFFF"/>
        </w:rPr>
        <w:t>, не имеющих</w:t>
      </w:r>
      <w:r w:rsidRPr="00554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отклонений в психическом развитии</w:t>
      </w:r>
      <w:r w:rsidRPr="0055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только от ребенка к ребёнку. В </w:t>
      </w:r>
      <w:r w:rsidRP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некоторых случаях, ребенок может эффективно обучаться социальным навыкам, находясь в коррекционном учреждении, при условии соблюдения принципов зоны ближайшего развития.</w:t>
      </w:r>
    </w:p>
    <w:p w:rsidR="008E6419" w:rsidRPr="0055473B" w:rsidRDefault="008E6419" w:rsidP="0055473B">
      <w:pPr>
        <w:shd w:val="clear" w:color="auto" w:fill="FFFFFF"/>
        <w:spacing w:after="0" w:line="240" w:lineRule="auto"/>
        <w:ind w:right="2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 цель</w:t>
      </w:r>
      <w:r w:rsid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педагогического сообщества</w:t>
      </w:r>
      <w:r w:rsidRP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максимально возможная степень</w:t>
      </w:r>
      <w:r w:rsidR="00B76388" w:rsidRP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P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оциальной адаптации детей и взрослых с РАС</w:t>
      </w:r>
      <w:r w:rsidR="00B76388" w:rsidRP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их семей</w:t>
      </w:r>
      <w:r w:rsidR="00B76388" w:rsidRPr="0055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5473B" w:rsidRDefault="0055473B" w:rsidP="00B76388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473B" w:rsidRDefault="0055473B" w:rsidP="00B76388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473B" w:rsidRDefault="0055473B" w:rsidP="002A50A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473B" w:rsidRPr="002A50A3" w:rsidRDefault="0055473B" w:rsidP="0055473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статье использованы материалы, предоставленные </w:t>
      </w:r>
      <w:r w:rsidR="00B76388" w:rsidRPr="002A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И.Л. Шпицберг</w:t>
      </w:r>
    </w:p>
    <w:p w:rsidR="0055473B" w:rsidRDefault="0055473B" w:rsidP="008E6419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473B" w:rsidRDefault="0055473B" w:rsidP="008E6419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473B" w:rsidRDefault="0055473B" w:rsidP="008E6419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473B" w:rsidRDefault="0055473B" w:rsidP="008E6419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5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263"/>
    <w:multiLevelType w:val="multilevel"/>
    <w:tmpl w:val="5EF09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93234"/>
    <w:multiLevelType w:val="multilevel"/>
    <w:tmpl w:val="5AD6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33A65"/>
    <w:multiLevelType w:val="multilevel"/>
    <w:tmpl w:val="091C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30DA3"/>
    <w:multiLevelType w:val="multilevel"/>
    <w:tmpl w:val="AA2A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15294"/>
    <w:multiLevelType w:val="multilevel"/>
    <w:tmpl w:val="73FAC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43C9"/>
    <w:multiLevelType w:val="multilevel"/>
    <w:tmpl w:val="58DA40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8295D"/>
    <w:multiLevelType w:val="multilevel"/>
    <w:tmpl w:val="3E967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E3CCF"/>
    <w:multiLevelType w:val="multilevel"/>
    <w:tmpl w:val="41C4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B77FB"/>
    <w:multiLevelType w:val="hybridMultilevel"/>
    <w:tmpl w:val="9E128D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6604C74"/>
    <w:multiLevelType w:val="multilevel"/>
    <w:tmpl w:val="8F5C3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EF"/>
    <w:rsid w:val="001878B5"/>
    <w:rsid w:val="002419EB"/>
    <w:rsid w:val="002A50A3"/>
    <w:rsid w:val="002D605F"/>
    <w:rsid w:val="0055473B"/>
    <w:rsid w:val="006013B5"/>
    <w:rsid w:val="008E6419"/>
    <w:rsid w:val="009C4CA6"/>
    <w:rsid w:val="00B76388"/>
    <w:rsid w:val="00D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AE53E-0AD0-421B-AE6C-FCD5B82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E6419"/>
  </w:style>
  <w:style w:type="character" w:customStyle="1" w:styleId="c6">
    <w:name w:val="c6"/>
    <w:basedOn w:val="a0"/>
    <w:rsid w:val="008E6419"/>
  </w:style>
  <w:style w:type="paragraph" w:customStyle="1" w:styleId="c5">
    <w:name w:val="c5"/>
    <w:basedOn w:val="a"/>
    <w:rsid w:val="008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E6419"/>
  </w:style>
  <w:style w:type="character" w:customStyle="1" w:styleId="c29">
    <w:name w:val="c29"/>
    <w:basedOn w:val="a0"/>
    <w:rsid w:val="008E6419"/>
  </w:style>
  <w:style w:type="character" w:customStyle="1" w:styleId="c14">
    <w:name w:val="c14"/>
    <w:basedOn w:val="a0"/>
    <w:rsid w:val="008E6419"/>
  </w:style>
  <w:style w:type="paragraph" w:styleId="a3">
    <w:name w:val="List Paragraph"/>
    <w:basedOn w:val="a"/>
    <w:uiPriority w:val="34"/>
    <w:qFormat/>
    <w:rsid w:val="008E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Директор</cp:lastModifiedBy>
  <cp:revision>6</cp:revision>
  <dcterms:created xsi:type="dcterms:W3CDTF">2021-01-21T04:20:00Z</dcterms:created>
  <dcterms:modified xsi:type="dcterms:W3CDTF">2021-01-21T05:34:00Z</dcterms:modified>
</cp:coreProperties>
</file>