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F" w:rsidRPr="00EF057F" w:rsidRDefault="00EF057F" w:rsidP="0047047C">
      <w:pPr>
        <w:spacing w:after="0"/>
        <w:jc w:val="center"/>
        <w:outlineLvl w:val="0"/>
        <w:rPr>
          <w:rFonts w:ascii="Garamond" w:eastAsia="Times New Roman" w:hAnsi="Garamond"/>
          <w:b/>
          <w:bCs/>
          <w:color w:val="000000"/>
          <w:kern w:val="36"/>
          <w:szCs w:val="28"/>
          <w:lang w:eastAsia="ru-RU"/>
        </w:rPr>
      </w:pPr>
      <w:bookmarkStart w:id="0" w:name="_GoBack"/>
      <w:bookmarkEnd w:id="0"/>
      <w:r w:rsidRPr="00EF057F">
        <w:rPr>
          <w:rFonts w:eastAsia="Times New Roman"/>
          <w:b/>
          <w:bCs/>
          <w:color w:val="000000"/>
          <w:kern w:val="36"/>
          <w:szCs w:val="28"/>
          <w:lang w:eastAsia="ru-RU"/>
        </w:rPr>
        <w:t>АРХАНГЕЛЬСКАЯ ОБЛАСТЬ</w:t>
      </w:r>
    </w:p>
    <w:p w:rsidR="00EF057F" w:rsidRPr="00EF057F" w:rsidRDefault="00EF057F" w:rsidP="0047047C">
      <w:pPr>
        <w:spacing w:after="0"/>
        <w:jc w:val="right"/>
        <w:outlineLvl w:val="0"/>
        <w:rPr>
          <w:rFonts w:ascii="Garamond" w:eastAsia="Times New Roman" w:hAnsi="Garamond"/>
          <w:b/>
          <w:bCs/>
          <w:color w:val="000000"/>
          <w:kern w:val="36"/>
          <w:szCs w:val="28"/>
          <w:lang w:eastAsia="ru-RU"/>
        </w:rPr>
      </w:pPr>
      <w:r w:rsidRPr="00EF057F">
        <w:rPr>
          <w:rFonts w:eastAsia="Times New Roman"/>
          <w:color w:val="000000"/>
          <w:kern w:val="36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outlineLvl w:val="0"/>
        <w:rPr>
          <w:rFonts w:ascii="Garamond" w:eastAsia="Times New Roman" w:hAnsi="Garamond"/>
          <w:b/>
          <w:bCs/>
          <w:color w:val="000000"/>
          <w:kern w:val="36"/>
          <w:szCs w:val="28"/>
          <w:lang w:eastAsia="ru-RU"/>
        </w:rPr>
      </w:pPr>
      <w:r w:rsidRPr="00EF057F">
        <w:rPr>
          <w:rFonts w:eastAsia="Times New Roman"/>
          <w:b/>
          <w:bCs/>
          <w:color w:val="000000"/>
          <w:kern w:val="36"/>
          <w:szCs w:val="28"/>
          <w:lang w:eastAsia="ru-RU"/>
        </w:rPr>
        <w:t>МУНИЦИПАЛЬНОЕ ОБРАЗОВАНИЕ</w:t>
      </w:r>
    </w:p>
    <w:p w:rsidR="00EF057F" w:rsidRPr="00EF057F" w:rsidRDefault="00EF057F" w:rsidP="0047047C">
      <w:pPr>
        <w:spacing w:after="0"/>
        <w:jc w:val="center"/>
        <w:outlineLvl w:val="0"/>
        <w:rPr>
          <w:rFonts w:ascii="Garamond" w:eastAsia="Times New Roman" w:hAnsi="Garamond"/>
          <w:b/>
          <w:bCs/>
          <w:color w:val="000000"/>
          <w:kern w:val="36"/>
          <w:szCs w:val="28"/>
          <w:lang w:eastAsia="ru-RU"/>
        </w:rPr>
      </w:pPr>
      <w:r w:rsidRPr="00EF057F">
        <w:rPr>
          <w:rFonts w:eastAsia="Times New Roman"/>
          <w:b/>
          <w:bCs/>
          <w:color w:val="000000"/>
          <w:kern w:val="36"/>
          <w:szCs w:val="28"/>
          <w:lang w:eastAsia="ru-RU"/>
        </w:rPr>
        <w:t> «ЛЕНСКИЙ МУНИЦИПАЛЬНЫЙ РАЙОН»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 w:val="24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СОБРАНИЕ ДЕПУТАТОВ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 w:val="24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РЕШЕНИЕ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от 15 декабря 2010 года № 76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О создании условий для обеспечения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поселений муниципального образования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«Ленский муниципальный район»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услугами торговли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both"/>
        <w:outlineLvl w:val="0"/>
        <w:rPr>
          <w:rFonts w:ascii="Garamond" w:eastAsia="Times New Roman" w:hAnsi="Garamond"/>
          <w:b/>
          <w:bCs/>
          <w:color w:val="000000"/>
          <w:kern w:val="36"/>
          <w:szCs w:val="28"/>
          <w:lang w:eastAsia="ru-RU"/>
        </w:rPr>
      </w:pPr>
      <w:r w:rsidRPr="00EF057F">
        <w:rPr>
          <w:rFonts w:eastAsia="Times New Roman"/>
          <w:color w:val="000000"/>
          <w:kern w:val="36"/>
          <w:szCs w:val="28"/>
          <w:lang w:eastAsia="ru-RU"/>
        </w:rPr>
        <w:t xml:space="preserve">       В соответствии с областным законом от 24.09.2010 № 203-15-ОЗ «О  предоставлении из областного бюджета субсидий бюджетам муниципальных районов Архангельской области на </w:t>
      </w:r>
      <w:proofErr w:type="spellStart"/>
      <w:r w:rsidRPr="00EF057F">
        <w:rPr>
          <w:rFonts w:eastAsia="Times New Roman"/>
          <w:color w:val="000000"/>
          <w:kern w:val="36"/>
          <w:szCs w:val="28"/>
          <w:lang w:eastAsia="ru-RU"/>
        </w:rPr>
        <w:t>софинансирование</w:t>
      </w:r>
      <w:proofErr w:type="spellEnd"/>
      <w:r w:rsidRPr="00EF057F">
        <w:rPr>
          <w:rFonts w:eastAsia="Times New Roman"/>
          <w:color w:val="000000"/>
          <w:kern w:val="36"/>
          <w:szCs w:val="28"/>
          <w:lang w:eastAsia="ru-RU"/>
        </w:rPr>
        <w:t xml:space="preserve"> расходов по созданию условий для обеспечения поселений услугами торговли», руководствуясь статьей 24 Устава МО «Ленский муниципальный район», Собрание депутатов  решило: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      1.Утвердить перечень населенных пунктов МО «Ленский муниципальный район», расходы по доставке товаров в которые частично компенсируются поставщику за счет средств бюджета МО «Ленский муниципальный район» (приложение № 1).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       2. Утвердить прилагаемый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ассортиментно-количественный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 xml:space="preserve"> минимум товаров  и минимальную периодичность доставки товаров (приложение № 2).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      3. Утвердить предельный норматив возмещения транспортных расходов в размере  40 % от фактических транспортных расходов поставщиков.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Глава МО «Ленский муниципальный район»                                   А. Г.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Торков</w:t>
      </w:r>
      <w:proofErr w:type="spellEnd"/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lastRenderedPageBreak/>
        <w:t>Приложение № 1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к Решению Собрания депутатов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МО «Ленский муниципальный район»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от 15 декабря 2010 года № 76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b/>
          <w:bCs/>
          <w:color w:val="000000"/>
          <w:szCs w:val="28"/>
          <w:lang w:eastAsia="ru-RU"/>
        </w:rPr>
        <w:t>Перечень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b/>
          <w:bCs/>
          <w:color w:val="000000"/>
          <w:szCs w:val="28"/>
          <w:lang w:eastAsia="ru-RU"/>
        </w:rPr>
        <w:t>населенных пунктов МО «Ленский муниципальный район», расходы по доставке товаров в которые частично компенсируются поставщику за счет средств бюджета МО «Ленский муниципальный район»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МО «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Сойгинское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»: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поселок Запань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Лупья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;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село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Слободчиково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;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деревня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Селивановская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.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МО «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Урдомское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»: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- деревня Бор;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поселок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Витюнино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;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поселок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Лупья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;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 xml:space="preserve">- поселок </w:t>
      </w:r>
      <w:proofErr w:type="spellStart"/>
      <w:r w:rsidRPr="00EF057F">
        <w:rPr>
          <w:rFonts w:eastAsia="Times New Roman"/>
          <w:color w:val="000000"/>
          <w:szCs w:val="28"/>
          <w:lang w:eastAsia="ru-RU"/>
        </w:rPr>
        <w:t>Вандыш</w:t>
      </w:r>
      <w:proofErr w:type="spellEnd"/>
      <w:r w:rsidRPr="00EF057F">
        <w:rPr>
          <w:rFonts w:eastAsia="Times New Roman"/>
          <w:color w:val="000000"/>
          <w:szCs w:val="28"/>
          <w:lang w:eastAsia="ru-RU"/>
        </w:rPr>
        <w:t>.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Default="00EF057F" w:rsidP="0047047C">
      <w:pPr>
        <w:spacing w:after="0"/>
        <w:rPr>
          <w:rFonts w:eastAsia="Times New Roman"/>
          <w:color w:val="000000"/>
          <w:szCs w:val="28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Default="0047047C" w:rsidP="0047047C">
      <w:pPr>
        <w:spacing w:after="0"/>
        <w:rPr>
          <w:rFonts w:eastAsia="Times New Roman"/>
          <w:color w:val="000000"/>
          <w:szCs w:val="28"/>
          <w:lang w:eastAsia="ru-RU"/>
        </w:rPr>
      </w:pPr>
    </w:p>
    <w:p w:rsidR="0047047C" w:rsidRPr="00EF057F" w:rsidRDefault="0047047C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rPr>
          <w:rFonts w:eastAsia="Times New Roman"/>
          <w:color w:val="000000"/>
          <w:sz w:val="27"/>
          <w:szCs w:val="27"/>
          <w:lang w:eastAsia="ru-RU"/>
        </w:rPr>
      </w:pPr>
      <w:r w:rsidRPr="00EF057F">
        <w:rPr>
          <w:rFonts w:eastAsia="Times New Roman"/>
          <w:b/>
          <w:bCs/>
          <w:color w:val="000000"/>
          <w:sz w:val="27"/>
          <w:szCs w:val="27"/>
          <w:lang w:eastAsia="ru-RU"/>
        </w:rPr>
        <w:t> 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lastRenderedPageBreak/>
        <w:t>Приложение №2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к Решению Собрания депутатов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МО «Ленский муниципальный район»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от 15 декабря 2010 года № 76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EF057F">
        <w:rPr>
          <w:rFonts w:eastAsia="Times New Roman"/>
          <w:b/>
          <w:bCs/>
          <w:color w:val="000000"/>
          <w:szCs w:val="28"/>
          <w:lang w:eastAsia="ru-RU"/>
        </w:rPr>
        <w:t>Ассортиментно-количественный</w:t>
      </w:r>
      <w:proofErr w:type="spellEnd"/>
      <w:r w:rsidRPr="00EF057F">
        <w:rPr>
          <w:rFonts w:eastAsia="Times New Roman"/>
          <w:b/>
          <w:bCs/>
          <w:color w:val="000000"/>
          <w:szCs w:val="28"/>
          <w:lang w:eastAsia="ru-RU"/>
        </w:rPr>
        <w:t xml:space="preserve"> минимум товаров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b/>
          <w:bCs/>
          <w:color w:val="000000"/>
          <w:szCs w:val="28"/>
          <w:lang w:eastAsia="ru-RU"/>
        </w:rPr>
        <w:t> и минимальная периодичность доставки товаров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b/>
          <w:bCs/>
          <w:color w:val="000000"/>
          <w:szCs w:val="28"/>
          <w:lang w:eastAsia="ru-RU"/>
        </w:rPr>
        <w:t> </w:t>
      </w:r>
    </w:p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3956"/>
        <w:gridCol w:w="2393"/>
        <w:gridCol w:w="2393"/>
      </w:tblGrid>
      <w:tr w:rsidR="00EF057F" w:rsidRPr="00EF057F" w:rsidTr="00EF05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057F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EF057F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EF057F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Ассортимент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 xml:space="preserve">Количество на 1 чел. в год, </w:t>
            </w:r>
            <w:proofErr w:type="gramStart"/>
            <w:r w:rsidRPr="00EF057F">
              <w:rPr>
                <w:rFonts w:eastAsia="Times New Roman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Периодичность доставки,</w:t>
            </w:r>
          </w:p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раз в месяц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Хлебные продукты (хлеб и макаронные изделия, крупы, бобовые)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133,7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Сахар и кондитерские изделия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22,2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37,2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Рыба и рыбопродукты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16,0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Молоко и молокопродукты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142,4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Яйца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 xml:space="preserve">200 </w:t>
            </w:r>
            <w:proofErr w:type="spellStart"/>
            <w:proofErr w:type="gramStart"/>
            <w:r w:rsidRPr="00EF057F">
              <w:rPr>
                <w:rFonts w:eastAsia="Times New Roman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13,8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EF057F" w:rsidRPr="00EF057F" w:rsidTr="00EF057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Прочие продукты (соль, чай)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7F" w:rsidRPr="00EF057F" w:rsidRDefault="00EF057F" w:rsidP="0047047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057F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EF057F" w:rsidRPr="00EF057F" w:rsidRDefault="00EF057F" w:rsidP="0047047C">
      <w:pPr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F057F">
        <w:rPr>
          <w:rFonts w:eastAsia="Times New Roman"/>
          <w:color w:val="000000"/>
          <w:szCs w:val="28"/>
          <w:lang w:eastAsia="ru-RU"/>
        </w:rPr>
        <w:t> </w:t>
      </w:r>
    </w:p>
    <w:p w:rsidR="00F12C76" w:rsidRDefault="00F12C76" w:rsidP="0047047C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7F"/>
    <w:rsid w:val="00194CC9"/>
    <w:rsid w:val="0047047C"/>
    <w:rsid w:val="006C0B77"/>
    <w:rsid w:val="007F2389"/>
    <w:rsid w:val="00805D69"/>
    <w:rsid w:val="008242FF"/>
    <w:rsid w:val="00825E27"/>
    <w:rsid w:val="00870751"/>
    <w:rsid w:val="00922C48"/>
    <w:rsid w:val="00B915B7"/>
    <w:rsid w:val="00EA59DF"/>
    <w:rsid w:val="00EE4070"/>
    <w:rsid w:val="00EF057F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paragraph" w:styleId="1">
    <w:name w:val="heading 1"/>
    <w:basedOn w:val="a"/>
    <w:link w:val="10"/>
    <w:uiPriority w:val="9"/>
    <w:qFormat/>
    <w:rsid w:val="00EF05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7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basedOn w:val="a"/>
    <w:rsid w:val="00EF057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F057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F057F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EF057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Title"/>
    <w:basedOn w:val="a"/>
    <w:link w:val="a6"/>
    <w:uiPriority w:val="10"/>
    <w:qFormat/>
    <w:rsid w:val="00EF057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F057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2022-03-14T09:26:00Z</dcterms:created>
  <dcterms:modified xsi:type="dcterms:W3CDTF">2022-03-14T09:28:00Z</dcterms:modified>
</cp:coreProperties>
</file>