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Pr="00676E60" w:rsidRDefault="0051669C" w:rsidP="00676E60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676E60">
        <w:rPr>
          <w:b/>
          <w:szCs w:val="28"/>
        </w:rPr>
        <w:t>АРХАНГЕЛЬСКАЯ ОБЛАСТЬ</w:t>
      </w:r>
    </w:p>
    <w:p w:rsidR="0051669C" w:rsidRPr="00676E60" w:rsidRDefault="0051669C" w:rsidP="00676E60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51669C" w:rsidRPr="00676E60" w:rsidRDefault="0051669C" w:rsidP="00676E60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676E60">
        <w:rPr>
          <w:b/>
          <w:szCs w:val="28"/>
        </w:rPr>
        <w:t>АДМИНИСТРАЦИЯ МУНИЦИПАЛЬНОГО ОБРАЗОВАНИЯ</w:t>
      </w:r>
    </w:p>
    <w:p w:rsidR="0051669C" w:rsidRPr="00676E60" w:rsidRDefault="0051669C" w:rsidP="00676E60">
      <w:pPr>
        <w:jc w:val="center"/>
        <w:rPr>
          <w:b/>
          <w:sz w:val="28"/>
          <w:szCs w:val="28"/>
        </w:rPr>
      </w:pPr>
      <w:r w:rsidRPr="00676E60">
        <w:rPr>
          <w:b/>
          <w:sz w:val="28"/>
          <w:szCs w:val="28"/>
        </w:rPr>
        <w:t>«ЛЕНСКИЙ МУНИЦИПАЛЬНЫЙ РАЙОН»</w:t>
      </w:r>
    </w:p>
    <w:p w:rsidR="0051669C" w:rsidRPr="00676E60" w:rsidRDefault="0051669C" w:rsidP="00676E60">
      <w:pPr>
        <w:jc w:val="center"/>
        <w:rPr>
          <w:sz w:val="28"/>
          <w:szCs w:val="28"/>
        </w:rPr>
      </w:pPr>
    </w:p>
    <w:p w:rsidR="0051669C" w:rsidRPr="00676E60" w:rsidRDefault="0051669C" w:rsidP="00676E60">
      <w:pPr>
        <w:jc w:val="center"/>
        <w:outlineLvl w:val="0"/>
        <w:rPr>
          <w:b/>
          <w:sz w:val="28"/>
          <w:szCs w:val="28"/>
        </w:rPr>
      </w:pPr>
      <w:proofErr w:type="gramStart"/>
      <w:r w:rsidRPr="00676E60">
        <w:rPr>
          <w:b/>
          <w:sz w:val="28"/>
          <w:szCs w:val="28"/>
        </w:rPr>
        <w:t>П</w:t>
      </w:r>
      <w:proofErr w:type="gramEnd"/>
      <w:r w:rsidRPr="00676E60">
        <w:rPr>
          <w:b/>
          <w:sz w:val="28"/>
          <w:szCs w:val="28"/>
        </w:rPr>
        <w:t xml:space="preserve"> О С Т А Н О В Л Е Н И Е</w:t>
      </w:r>
    </w:p>
    <w:p w:rsidR="0051669C" w:rsidRPr="00676E60" w:rsidRDefault="0051669C" w:rsidP="00676E60">
      <w:pPr>
        <w:jc w:val="center"/>
        <w:outlineLvl w:val="0"/>
        <w:rPr>
          <w:sz w:val="28"/>
          <w:szCs w:val="28"/>
        </w:rPr>
      </w:pPr>
    </w:p>
    <w:p w:rsidR="0051669C" w:rsidRPr="00676E60" w:rsidRDefault="0051669C" w:rsidP="00676E60">
      <w:pPr>
        <w:jc w:val="center"/>
        <w:rPr>
          <w:sz w:val="28"/>
          <w:szCs w:val="28"/>
        </w:rPr>
      </w:pPr>
      <w:r w:rsidRPr="00676E60">
        <w:rPr>
          <w:sz w:val="28"/>
          <w:szCs w:val="28"/>
        </w:rPr>
        <w:t xml:space="preserve">от </w:t>
      </w:r>
      <w:r w:rsidR="00676E60">
        <w:rPr>
          <w:sz w:val="28"/>
          <w:szCs w:val="28"/>
        </w:rPr>
        <w:t xml:space="preserve">11 </w:t>
      </w:r>
      <w:r w:rsidR="002B3CE2" w:rsidRPr="00676E60">
        <w:rPr>
          <w:sz w:val="28"/>
          <w:szCs w:val="28"/>
        </w:rPr>
        <w:t>ноября</w:t>
      </w:r>
      <w:r w:rsidR="00676E60">
        <w:rPr>
          <w:sz w:val="28"/>
          <w:szCs w:val="28"/>
        </w:rPr>
        <w:t xml:space="preserve"> </w:t>
      </w:r>
      <w:r w:rsidRPr="00676E60">
        <w:rPr>
          <w:sz w:val="28"/>
          <w:szCs w:val="28"/>
        </w:rPr>
        <w:t>20</w:t>
      </w:r>
      <w:r w:rsidR="002B3CE2" w:rsidRPr="00676E60">
        <w:rPr>
          <w:sz w:val="28"/>
          <w:szCs w:val="28"/>
        </w:rPr>
        <w:t>20</w:t>
      </w:r>
      <w:r w:rsidR="00676E60">
        <w:rPr>
          <w:sz w:val="28"/>
          <w:szCs w:val="28"/>
        </w:rPr>
        <w:t xml:space="preserve"> года </w:t>
      </w:r>
      <w:r w:rsidRPr="00676E60">
        <w:rPr>
          <w:sz w:val="28"/>
          <w:szCs w:val="28"/>
        </w:rPr>
        <w:t xml:space="preserve">№ </w:t>
      </w:r>
      <w:r w:rsidR="00676E60" w:rsidRPr="00676E60">
        <w:rPr>
          <w:sz w:val="28"/>
          <w:szCs w:val="28"/>
        </w:rPr>
        <w:t>641</w:t>
      </w:r>
    </w:p>
    <w:p w:rsidR="0051669C" w:rsidRPr="00676E60" w:rsidRDefault="0051669C" w:rsidP="00676E60">
      <w:pPr>
        <w:jc w:val="center"/>
        <w:rPr>
          <w:sz w:val="28"/>
          <w:szCs w:val="28"/>
        </w:rPr>
      </w:pPr>
    </w:p>
    <w:p w:rsidR="0051669C" w:rsidRPr="00676E60" w:rsidRDefault="0051669C" w:rsidP="00676E60">
      <w:pPr>
        <w:jc w:val="center"/>
        <w:rPr>
          <w:sz w:val="22"/>
          <w:szCs w:val="28"/>
        </w:rPr>
      </w:pPr>
      <w:r w:rsidRPr="00676E60">
        <w:rPr>
          <w:sz w:val="22"/>
          <w:szCs w:val="28"/>
        </w:rPr>
        <w:t>с.</w:t>
      </w:r>
      <w:r w:rsidR="00676E60">
        <w:rPr>
          <w:sz w:val="22"/>
          <w:szCs w:val="28"/>
        </w:rPr>
        <w:t xml:space="preserve"> </w:t>
      </w:r>
      <w:r w:rsidRPr="00676E60">
        <w:rPr>
          <w:sz w:val="22"/>
          <w:szCs w:val="28"/>
        </w:rPr>
        <w:t>Яренск</w:t>
      </w:r>
    </w:p>
    <w:p w:rsidR="0051669C" w:rsidRPr="00676E60" w:rsidRDefault="0051669C" w:rsidP="00676E60">
      <w:pPr>
        <w:jc w:val="center"/>
        <w:rPr>
          <w:sz w:val="28"/>
          <w:szCs w:val="28"/>
        </w:rPr>
      </w:pPr>
    </w:p>
    <w:p w:rsidR="00676E60" w:rsidRDefault="00A24EC0" w:rsidP="00676E60">
      <w:pPr>
        <w:jc w:val="center"/>
        <w:rPr>
          <w:b/>
          <w:sz w:val="28"/>
          <w:szCs w:val="28"/>
        </w:rPr>
      </w:pPr>
      <w:r w:rsidRPr="00676E6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4EC0" w:rsidRPr="00676E60" w:rsidRDefault="00A24EC0" w:rsidP="00676E60">
      <w:pPr>
        <w:jc w:val="center"/>
        <w:rPr>
          <w:b/>
          <w:sz w:val="28"/>
          <w:szCs w:val="28"/>
        </w:rPr>
      </w:pPr>
      <w:r w:rsidRPr="00676E60">
        <w:rPr>
          <w:b/>
          <w:sz w:val="28"/>
          <w:szCs w:val="28"/>
        </w:rPr>
        <w:t>МО «Ленский муниципальный район» от 13.10.2016 № 582</w:t>
      </w:r>
    </w:p>
    <w:p w:rsidR="00A24EC0" w:rsidRPr="00676E60" w:rsidRDefault="00A24EC0" w:rsidP="00676E60">
      <w:pPr>
        <w:jc w:val="center"/>
        <w:rPr>
          <w:sz w:val="28"/>
          <w:szCs w:val="28"/>
        </w:rPr>
      </w:pPr>
    </w:p>
    <w:p w:rsidR="00676E60" w:rsidRPr="004E2B88" w:rsidRDefault="00A24EC0" w:rsidP="00676E60">
      <w:pPr>
        <w:ind w:firstLine="709"/>
        <w:jc w:val="both"/>
        <w:rPr>
          <w:sz w:val="28"/>
          <w:szCs w:val="28"/>
        </w:rPr>
      </w:pPr>
      <w:r w:rsidRPr="004E2B88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</w:t>
      </w:r>
      <w:r w:rsidR="00676E60" w:rsidRPr="004E2B88">
        <w:rPr>
          <w:sz w:val="28"/>
          <w:szCs w:val="28"/>
        </w:rPr>
        <w:t xml:space="preserve"> системы Российской Федерации» Администрация МО «Ленский муниципальный район» постановляет:</w:t>
      </w:r>
    </w:p>
    <w:p w:rsidR="00A24EC0" w:rsidRPr="004E2B88" w:rsidRDefault="00676E60" w:rsidP="00676E60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E2B88">
        <w:rPr>
          <w:sz w:val="28"/>
          <w:szCs w:val="28"/>
        </w:rPr>
        <w:t>В</w:t>
      </w:r>
      <w:r w:rsidR="00A24EC0" w:rsidRPr="004E2B88">
        <w:rPr>
          <w:sz w:val="28"/>
          <w:szCs w:val="28"/>
        </w:rPr>
        <w:t>нести в постановление Администрации МО «Ленский мун</w:t>
      </w:r>
      <w:r w:rsidRPr="004E2B88">
        <w:rPr>
          <w:sz w:val="28"/>
          <w:szCs w:val="28"/>
        </w:rPr>
        <w:t xml:space="preserve">иципальный район» от 13.10.2016 № 582 </w:t>
      </w:r>
      <w:r w:rsidR="00A24EC0" w:rsidRPr="004E2B88">
        <w:rPr>
          <w:sz w:val="28"/>
          <w:szCs w:val="28"/>
        </w:rPr>
        <w:t>«</w:t>
      </w:r>
      <w:r w:rsidRPr="004E2B88">
        <w:rPr>
          <w:sz w:val="28"/>
          <w:szCs w:val="28"/>
        </w:rPr>
        <w:t>Об утверждении методики 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 (в редакции постановлений от 27.06.2017 № 458, от 10.12.2019 № 759) следующие изменения:</w:t>
      </w:r>
    </w:p>
    <w:p w:rsidR="00A24EC0" w:rsidRPr="004E2B88" w:rsidRDefault="00676E60" w:rsidP="00676E60">
      <w:pPr>
        <w:ind w:firstLine="709"/>
        <w:jc w:val="both"/>
        <w:rPr>
          <w:sz w:val="28"/>
          <w:szCs w:val="28"/>
        </w:rPr>
      </w:pPr>
      <w:r w:rsidRPr="004E2B88">
        <w:rPr>
          <w:sz w:val="28"/>
          <w:szCs w:val="28"/>
        </w:rPr>
        <w:t>1.</w:t>
      </w:r>
      <w:r w:rsidR="00A24EC0" w:rsidRPr="004E2B88">
        <w:rPr>
          <w:sz w:val="28"/>
          <w:szCs w:val="28"/>
        </w:rPr>
        <w:t>1.</w:t>
      </w:r>
      <w:r w:rsidRPr="004E2B88">
        <w:rPr>
          <w:sz w:val="28"/>
          <w:szCs w:val="28"/>
        </w:rPr>
        <w:t xml:space="preserve"> М</w:t>
      </w:r>
      <w:r w:rsidR="00A24EC0" w:rsidRPr="004E2B88">
        <w:rPr>
          <w:sz w:val="28"/>
          <w:szCs w:val="28"/>
        </w:rPr>
        <w:t xml:space="preserve">етодику </w:t>
      </w:r>
      <w:r w:rsidR="005D5A33" w:rsidRPr="004E2B88">
        <w:rPr>
          <w:sz w:val="28"/>
          <w:szCs w:val="28"/>
        </w:rPr>
        <w:t>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</w:t>
      </w:r>
      <w:r w:rsidR="004E2B88">
        <w:rPr>
          <w:sz w:val="28"/>
          <w:szCs w:val="28"/>
        </w:rPr>
        <w:t>,</w:t>
      </w:r>
      <w:r w:rsidR="00A24EC0" w:rsidRPr="004E2B88">
        <w:rPr>
          <w:sz w:val="28"/>
          <w:szCs w:val="28"/>
        </w:rPr>
        <w:t xml:space="preserve"> </w:t>
      </w:r>
      <w:r w:rsidR="005D5A33" w:rsidRPr="004E2B88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A24EC0" w:rsidRPr="004E2B88">
        <w:rPr>
          <w:sz w:val="28"/>
          <w:szCs w:val="28"/>
        </w:rPr>
        <w:t>.</w:t>
      </w:r>
    </w:p>
    <w:p w:rsidR="00E87CDC" w:rsidRPr="004E2B88" w:rsidRDefault="00E87CDC" w:rsidP="00676E60">
      <w:pPr>
        <w:pStyle w:val="a5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4E2B88">
        <w:rPr>
          <w:sz w:val="28"/>
          <w:szCs w:val="28"/>
        </w:rPr>
        <w:t>Настоящее постановление вступает в силу с</w:t>
      </w:r>
      <w:r w:rsidR="005D5A33" w:rsidRPr="004E2B88">
        <w:rPr>
          <w:sz w:val="28"/>
          <w:szCs w:val="28"/>
        </w:rPr>
        <w:t>о</w:t>
      </w:r>
      <w:r w:rsidRPr="004E2B88">
        <w:rPr>
          <w:sz w:val="28"/>
          <w:szCs w:val="28"/>
        </w:rPr>
        <w:t xml:space="preserve"> дня подписания.</w:t>
      </w:r>
    </w:p>
    <w:p w:rsidR="00E87CDC" w:rsidRPr="004E2B88" w:rsidRDefault="00E87CDC" w:rsidP="00676E60">
      <w:pPr>
        <w:pStyle w:val="a5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4E2B88">
        <w:rPr>
          <w:sz w:val="28"/>
          <w:szCs w:val="28"/>
        </w:rPr>
        <w:t>Опублик</w:t>
      </w:r>
      <w:r w:rsidR="004E2B88" w:rsidRPr="004E2B88">
        <w:rPr>
          <w:sz w:val="28"/>
          <w:szCs w:val="28"/>
        </w:rPr>
        <w:t xml:space="preserve">овать настоящее постановление </w:t>
      </w:r>
      <w:r w:rsidRPr="004E2B88">
        <w:rPr>
          <w:sz w:val="28"/>
          <w:szCs w:val="28"/>
        </w:rPr>
        <w:t xml:space="preserve">на официальном </w:t>
      </w:r>
      <w:r w:rsidR="002B3CE2" w:rsidRPr="004E2B88">
        <w:rPr>
          <w:sz w:val="28"/>
          <w:szCs w:val="28"/>
        </w:rPr>
        <w:t>сайте Администрации МО</w:t>
      </w:r>
      <w:r w:rsidRPr="004E2B88">
        <w:rPr>
          <w:sz w:val="28"/>
          <w:szCs w:val="28"/>
        </w:rPr>
        <w:t xml:space="preserve"> «Ленский муниципальный район».</w:t>
      </w:r>
    </w:p>
    <w:p w:rsidR="001F1BC3" w:rsidRPr="004E2B88" w:rsidRDefault="001F1BC3" w:rsidP="00676E60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E2B88">
        <w:rPr>
          <w:sz w:val="28"/>
          <w:szCs w:val="28"/>
        </w:rPr>
        <w:t>Контроль за</w:t>
      </w:r>
      <w:proofErr w:type="gramEnd"/>
      <w:r w:rsidRPr="004E2B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Pr="00676E60" w:rsidRDefault="0051669C" w:rsidP="00676E60">
      <w:pPr>
        <w:jc w:val="both"/>
        <w:rPr>
          <w:sz w:val="28"/>
          <w:szCs w:val="28"/>
        </w:rPr>
      </w:pPr>
    </w:p>
    <w:p w:rsidR="0051669C" w:rsidRPr="00676E60" w:rsidRDefault="0051669C" w:rsidP="00676E60">
      <w:pPr>
        <w:jc w:val="both"/>
        <w:rPr>
          <w:sz w:val="28"/>
          <w:szCs w:val="28"/>
        </w:rPr>
      </w:pPr>
    </w:p>
    <w:p w:rsidR="00676E60" w:rsidRPr="00676E60" w:rsidRDefault="00676E60" w:rsidP="00676E60">
      <w:pPr>
        <w:rPr>
          <w:sz w:val="28"/>
          <w:szCs w:val="28"/>
        </w:rPr>
      </w:pPr>
      <w:proofErr w:type="gramStart"/>
      <w:r w:rsidRPr="00676E60">
        <w:rPr>
          <w:sz w:val="28"/>
          <w:szCs w:val="28"/>
        </w:rPr>
        <w:t>Исполняющий</w:t>
      </w:r>
      <w:proofErr w:type="gramEnd"/>
      <w:r w:rsidRPr="00676E60">
        <w:rPr>
          <w:sz w:val="28"/>
          <w:szCs w:val="28"/>
        </w:rPr>
        <w:t xml:space="preserve"> обязанности</w:t>
      </w:r>
    </w:p>
    <w:p w:rsidR="00676E60" w:rsidRPr="00676E60" w:rsidRDefault="00676E60" w:rsidP="00676E60">
      <w:pPr>
        <w:jc w:val="both"/>
        <w:rPr>
          <w:sz w:val="28"/>
          <w:szCs w:val="28"/>
        </w:rPr>
      </w:pPr>
      <w:r w:rsidRPr="00676E60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676E60" w:rsidRPr="00676E60" w:rsidRDefault="00676E60" w:rsidP="00E87CDC">
      <w:pPr>
        <w:jc w:val="right"/>
        <w:rPr>
          <w:sz w:val="28"/>
          <w:szCs w:val="28"/>
        </w:rPr>
      </w:pPr>
    </w:p>
    <w:p w:rsidR="00676E60" w:rsidRDefault="00676E6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E2B88" w:rsidRPr="004E2B88" w:rsidRDefault="004E2B88" w:rsidP="00E87CDC">
      <w:pPr>
        <w:jc w:val="right"/>
      </w:pPr>
      <w:r w:rsidRPr="004E2B88">
        <w:lastRenderedPageBreak/>
        <w:t>Приложение</w:t>
      </w:r>
    </w:p>
    <w:p w:rsidR="00E87CDC" w:rsidRPr="004E2B88" w:rsidRDefault="004E2B88" w:rsidP="00E87CDC">
      <w:pPr>
        <w:jc w:val="right"/>
      </w:pPr>
      <w:r w:rsidRPr="004E2B88">
        <w:t>к</w:t>
      </w:r>
      <w:r w:rsidR="00E87CDC" w:rsidRPr="004E2B88">
        <w:t xml:space="preserve"> постановлени</w:t>
      </w:r>
      <w:r w:rsidRPr="004E2B88">
        <w:t>ю Администрации</w:t>
      </w:r>
    </w:p>
    <w:p w:rsidR="00E87CDC" w:rsidRPr="004E2B88" w:rsidRDefault="00E87CDC" w:rsidP="00E87CDC">
      <w:pPr>
        <w:jc w:val="right"/>
      </w:pPr>
      <w:r w:rsidRPr="004E2B88">
        <w:t>М</w:t>
      </w:r>
      <w:r w:rsidR="004E2B88" w:rsidRPr="004E2B88">
        <w:t>О «Ленский муниципальный район»</w:t>
      </w:r>
    </w:p>
    <w:p w:rsidR="00E87CDC" w:rsidRDefault="004E2B88" w:rsidP="00E87CDC">
      <w:pPr>
        <w:jc w:val="right"/>
        <w:rPr>
          <w:sz w:val="28"/>
        </w:rPr>
      </w:pPr>
      <w:r w:rsidRPr="004E2B88">
        <w:t>от 11 ноября 2020 года № 641</w:t>
      </w:r>
    </w:p>
    <w:p w:rsidR="004E2B88" w:rsidRDefault="004E2B88" w:rsidP="00E87CDC">
      <w:pPr>
        <w:jc w:val="right"/>
        <w:rPr>
          <w:sz w:val="28"/>
        </w:rPr>
      </w:pPr>
    </w:p>
    <w:p w:rsidR="004E2B88" w:rsidRDefault="004E2B88" w:rsidP="004E2B88">
      <w:pPr>
        <w:jc w:val="right"/>
      </w:pPr>
      <w:r w:rsidRPr="004E2B88">
        <w:t xml:space="preserve">«Утверждена </w:t>
      </w:r>
    </w:p>
    <w:p w:rsidR="004E2B88" w:rsidRPr="004E2B88" w:rsidRDefault="004E2B88" w:rsidP="004E2B88">
      <w:pPr>
        <w:jc w:val="right"/>
      </w:pPr>
      <w:r w:rsidRPr="004E2B88">
        <w:t xml:space="preserve">постановлением Администрации </w:t>
      </w:r>
    </w:p>
    <w:p w:rsidR="004E2B88" w:rsidRPr="004E2B88" w:rsidRDefault="004E2B88" w:rsidP="004E2B88">
      <w:pPr>
        <w:jc w:val="right"/>
      </w:pPr>
      <w:r w:rsidRPr="004E2B88">
        <w:t xml:space="preserve">МО «Ленский муниципальный район» </w:t>
      </w:r>
    </w:p>
    <w:p w:rsidR="00E87CDC" w:rsidRPr="004E2B88" w:rsidRDefault="004E2B88" w:rsidP="004E2B88">
      <w:pPr>
        <w:jc w:val="right"/>
      </w:pPr>
      <w:r w:rsidRPr="004E2B88">
        <w:t>от 13  октября 2016 года № 582</w:t>
      </w:r>
    </w:p>
    <w:p w:rsidR="004E2B88" w:rsidRPr="00701390" w:rsidRDefault="004E2B88" w:rsidP="00701390">
      <w:pPr>
        <w:jc w:val="center"/>
        <w:rPr>
          <w:sz w:val="28"/>
          <w:szCs w:val="28"/>
        </w:rPr>
      </w:pPr>
    </w:p>
    <w:p w:rsidR="00E87CDC" w:rsidRPr="00701390" w:rsidRDefault="00E87CDC" w:rsidP="00701390">
      <w:pPr>
        <w:jc w:val="center"/>
        <w:rPr>
          <w:b/>
          <w:sz w:val="28"/>
          <w:szCs w:val="28"/>
        </w:rPr>
      </w:pPr>
      <w:r w:rsidRPr="00701390">
        <w:rPr>
          <w:b/>
          <w:sz w:val="28"/>
          <w:szCs w:val="28"/>
        </w:rPr>
        <w:t>МЕТОДИКА</w:t>
      </w:r>
    </w:p>
    <w:p w:rsidR="004E2B88" w:rsidRPr="00701390" w:rsidRDefault="00E87CDC" w:rsidP="00701390">
      <w:pPr>
        <w:jc w:val="center"/>
        <w:rPr>
          <w:b/>
          <w:sz w:val="28"/>
          <w:szCs w:val="28"/>
        </w:rPr>
      </w:pPr>
      <w:r w:rsidRPr="00701390">
        <w:rPr>
          <w:b/>
          <w:sz w:val="28"/>
          <w:szCs w:val="28"/>
        </w:rPr>
        <w:t>прогнозирования поступлений доходов в бюджет МО</w:t>
      </w:r>
    </w:p>
    <w:p w:rsidR="0051669C" w:rsidRPr="00701390" w:rsidRDefault="00E87CDC" w:rsidP="00701390">
      <w:pPr>
        <w:jc w:val="center"/>
        <w:rPr>
          <w:b/>
          <w:sz w:val="28"/>
          <w:szCs w:val="28"/>
        </w:rPr>
      </w:pPr>
      <w:r w:rsidRPr="00701390">
        <w:rPr>
          <w:b/>
          <w:sz w:val="28"/>
          <w:szCs w:val="28"/>
        </w:rPr>
        <w:t>«Ленский муниципальный район», главным администратором которых является Администрация МО «Ленский муниципальный район»</w:t>
      </w:r>
    </w:p>
    <w:p w:rsidR="00E87CDC" w:rsidRPr="00701390" w:rsidRDefault="00E87CDC" w:rsidP="00701390">
      <w:pPr>
        <w:jc w:val="center"/>
        <w:rPr>
          <w:sz w:val="28"/>
          <w:szCs w:val="28"/>
        </w:rPr>
      </w:pPr>
    </w:p>
    <w:p w:rsidR="00E87CDC" w:rsidRPr="00701390" w:rsidRDefault="00E87CDC" w:rsidP="00701390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sz w:val="28"/>
          <w:szCs w:val="28"/>
        </w:rPr>
      </w:pPr>
      <w:r w:rsidRPr="00701390">
        <w:rPr>
          <w:sz w:val="28"/>
          <w:szCs w:val="28"/>
        </w:rPr>
        <w:t>Общие положения</w:t>
      </w:r>
    </w:p>
    <w:p w:rsidR="0051669C" w:rsidRPr="00701390" w:rsidRDefault="0051669C" w:rsidP="00701390">
      <w:pPr>
        <w:jc w:val="center"/>
        <w:rPr>
          <w:sz w:val="28"/>
          <w:szCs w:val="28"/>
        </w:rPr>
      </w:pPr>
    </w:p>
    <w:p w:rsidR="007839AF" w:rsidRPr="007839AF" w:rsidRDefault="007839AF" w:rsidP="005B143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7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</w:t>
      </w:r>
      <w:r w:rsidR="00701390">
        <w:rPr>
          <w:sz w:val="28"/>
          <w:szCs w:val="28"/>
        </w:rPr>
        <w:t>№</w:t>
      </w:r>
      <w:r w:rsidRPr="007839AF">
        <w:rPr>
          <w:sz w:val="28"/>
          <w:szCs w:val="28"/>
        </w:rPr>
        <w:t xml:space="preserve"> 574 </w:t>
      </w:r>
      <w:r w:rsidR="00701390">
        <w:rPr>
          <w:sz w:val="28"/>
          <w:szCs w:val="28"/>
        </w:rPr>
        <w:br/>
      </w:r>
      <w:r w:rsidRPr="007839AF">
        <w:rPr>
          <w:sz w:val="28"/>
          <w:szCs w:val="28"/>
        </w:rPr>
        <w:t>"Об общих требованиях к методике прогнозирования поступлений доходов в бюджеты бюджетной системы Российской Федерации" 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5404DE">
        <w:rPr>
          <w:sz w:val="28"/>
          <w:szCs w:val="28"/>
        </w:rPr>
        <w:t xml:space="preserve"> </w:t>
      </w:r>
      <w:r w:rsidR="00701390">
        <w:rPr>
          <w:sz w:val="28"/>
          <w:szCs w:val="28"/>
        </w:rPr>
        <w:t>–</w:t>
      </w:r>
      <w:r w:rsidR="005404DE">
        <w:rPr>
          <w:sz w:val="28"/>
          <w:szCs w:val="28"/>
        </w:rPr>
        <w:t xml:space="preserve"> </w:t>
      </w:r>
      <w:r w:rsidR="00701390"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>
        <w:rPr>
          <w:sz w:val="28"/>
          <w:szCs w:val="28"/>
        </w:rPr>
        <w:t>Администраци</w:t>
      </w:r>
      <w:r w:rsidR="005404DE">
        <w:rPr>
          <w:sz w:val="28"/>
          <w:szCs w:val="28"/>
        </w:rPr>
        <w:t>я</w:t>
      </w:r>
      <w:r>
        <w:rPr>
          <w:sz w:val="28"/>
          <w:szCs w:val="28"/>
        </w:rPr>
        <w:t xml:space="preserve"> МО «Ленский муниципальный</w:t>
      </w:r>
      <w:proofErr w:type="gramEnd"/>
      <w:r>
        <w:rPr>
          <w:sz w:val="28"/>
          <w:szCs w:val="28"/>
        </w:rPr>
        <w:t xml:space="preserve">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404DE">
        <w:rPr>
          <w:sz w:val="28"/>
          <w:szCs w:val="28"/>
        </w:rPr>
        <w:t xml:space="preserve"> </w:t>
      </w:r>
      <w:r w:rsidR="00701390">
        <w:rPr>
          <w:sz w:val="28"/>
          <w:szCs w:val="28"/>
        </w:rPr>
        <w:t>–</w:t>
      </w:r>
      <w:r w:rsidR="005404DE">
        <w:rPr>
          <w:sz w:val="28"/>
          <w:szCs w:val="28"/>
        </w:rPr>
        <w:t xml:space="preserve"> Администрация МО</w:t>
      </w:r>
      <w:r w:rsidR="00701390">
        <w:rPr>
          <w:sz w:val="28"/>
          <w:szCs w:val="28"/>
        </w:rPr>
        <w:t>)</w:t>
      </w:r>
      <w:r w:rsidRPr="007839AF">
        <w:rPr>
          <w:sz w:val="28"/>
          <w:szCs w:val="28"/>
        </w:rPr>
        <w:t>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Default="007839AF" w:rsidP="005B143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2.1. Неналоговые доходы бюджета, главным ад</w:t>
      </w:r>
      <w:r w:rsidR="005B1431">
        <w:rPr>
          <w:sz w:val="28"/>
          <w:szCs w:val="28"/>
        </w:rPr>
        <w:t xml:space="preserve">министратором которых является </w:t>
      </w:r>
      <w:r w:rsidR="0006145F">
        <w:rPr>
          <w:sz w:val="28"/>
          <w:szCs w:val="28"/>
        </w:rPr>
        <w:t>Администрация МО</w:t>
      </w:r>
      <w:r w:rsidRPr="007839AF">
        <w:rPr>
          <w:sz w:val="28"/>
          <w:szCs w:val="28"/>
        </w:rPr>
        <w:t>, включают:</w:t>
      </w:r>
    </w:p>
    <w:p w:rsidR="00EA50BA" w:rsidRPr="007839AF" w:rsidRDefault="00EA50BA" w:rsidP="005B143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3085"/>
        <w:gridCol w:w="6521"/>
      </w:tblGrid>
      <w:tr w:rsidR="007839AF" w:rsidRPr="007839AF" w:rsidTr="005B1431">
        <w:tc>
          <w:tcPr>
            <w:tcW w:w="3085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521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8B67AC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1 11 05013 </w:t>
            </w:r>
            <w:r w:rsidR="008B67AC">
              <w:rPr>
                <w:sz w:val="28"/>
                <w:szCs w:val="28"/>
              </w:rPr>
              <w:t>05</w:t>
            </w:r>
            <w:r w:rsidR="005B143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521" w:type="dxa"/>
          </w:tcPr>
          <w:p w:rsidR="00A24EC0" w:rsidRPr="00250E7D" w:rsidRDefault="00A24EC0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="005B1431">
              <w:rPr>
                <w:rFonts w:ascii="Times New Roman" w:hAnsi="Times New Roman" w:cs="Times New Roman"/>
                <w:sz w:val="28"/>
                <w:szCs w:val="28"/>
              </w:rPr>
              <w:t xml:space="preserve">которые расположены в границах 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8B67AC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676E6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1 11 05013 13 0000 120</w:t>
            </w:r>
          </w:p>
        </w:tc>
        <w:tc>
          <w:tcPr>
            <w:tcW w:w="6521" w:type="dxa"/>
          </w:tcPr>
          <w:p w:rsidR="005B1431" w:rsidRPr="00250E7D" w:rsidRDefault="00A24EC0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EA50BA" w:rsidP="0067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6521" w:type="dxa"/>
          </w:tcPr>
          <w:p w:rsidR="00A24EC0" w:rsidRPr="00250E7D" w:rsidRDefault="00A24EC0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676E6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1 11 </w:t>
            </w:r>
            <w:r w:rsidR="00EA50BA">
              <w:rPr>
                <w:sz w:val="28"/>
                <w:szCs w:val="28"/>
              </w:rPr>
              <w:t>09045 05 0000 120</w:t>
            </w:r>
          </w:p>
        </w:tc>
        <w:tc>
          <w:tcPr>
            <w:tcW w:w="6521" w:type="dxa"/>
          </w:tcPr>
          <w:p w:rsidR="00A24EC0" w:rsidRPr="00250E7D" w:rsidRDefault="005B1431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</w:t>
            </w:r>
            <w:r w:rsidR="00A24EC0" w:rsidRPr="00250E7D">
              <w:rPr>
                <w:rFonts w:ascii="Times New Roman" w:hAnsi="Times New Roman" w:cs="Times New Roman"/>
                <w:sz w:val="28"/>
                <w:szCs w:val="28"/>
              </w:rPr>
              <w:t>использования    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676E6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1 13 02065 05 0000 130</w:t>
            </w:r>
          </w:p>
        </w:tc>
        <w:tc>
          <w:tcPr>
            <w:tcW w:w="6521" w:type="dxa"/>
          </w:tcPr>
          <w:p w:rsidR="00A24EC0" w:rsidRPr="00250E7D" w:rsidRDefault="00A24EC0" w:rsidP="00676E6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8B67AC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1 14 06013 </w:t>
            </w:r>
            <w:r w:rsidR="008B67AC">
              <w:rPr>
                <w:sz w:val="28"/>
                <w:szCs w:val="28"/>
              </w:rPr>
              <w:t>05</w:t>
            </w:r>
            <w:r w:rsidR="00EA50B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6521" w:type="dxa"/>
          </w:tcPr>
          <w:p w:rsidR="00A24EC0" w:rsidRPr="00250E7D" w:rsidRDefault="005B1431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</w:t>
            </w:r>
            <w:r w:rsidR="00A24EC0" w:rsidRPr="00250E7D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государственная собственность на которые не разграничена и которые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асположены в границах сельских </w:t>
            </w:r>
            <w:r w:rsidR="00A24EC0" w:rsidRPr="00250E7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8B67AC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EA50BA" w:rsidP="0067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1 14 06013 13 0000 430</w:t>
            </w:r>
          </w:p>
        </w:tc>
        <w:tc>
          <w:tcPr>
            <w:tcW w:w="6521" w:type="dxa"/>
          </w:tcPr>
          <w:p w:rsidR="00A24EC0" w:rsidRPr="00250E7D" w:rsidRDefault="00A24EC0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8B67AC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1 16 </w:t>
            </w:r>
            <w:r w:rsidR="008B67AC">
              <w:rPr>
                <w:sz w:val="28"/>
                <w:szCs w:val="28"/>
              </w:rPr>
              <w:t>07</w:t>
            </w:r>
            <w:r w:rsidRPr="00250E7D">
              <w:rPr>
                <w:sz w:val="28"/>
                <w:szCs w:val="28"/>
              </w:rPr>
              <w:t>0</w:t>
            </w:r>
            <w:r w:rsidR="008B67AC">
              <w:rPr>
                <w:sz w:val="28"/>
                <w:szCs w:val="28"/>
              </w:rPr>
              <w:t>9</w:t>
            </w:r>
            <w:r w:rsidR="00EA50BA">
              <w:rPr>
                <w:sz w:val="28"/>
                <w:szCs w:val="28"/>
              </w:rPr>
              <w:t>0 05 0000 140</w:t>
            </w:r>
          </w:p>
        </w:tc>
        <w:tc>
          <w:tcPr>
            <w:tcW w:w="6521" w:type="dxa"/>
          </w:tcPr>
          <w:p w:rsidR="00A24EC0" w:rsidRPr="00250E7D" w:rsidRDefault="008B67AC" w:rsidP="008B67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4EC0" w:rsidRPr="007839AF" w:rsidTr="005B1431">
        <w:tc>
          <w:tcPr>
            <w:tcW w:w="3085" w:type="dxa"/>
          </w:tcPr>
          <w:p w:rsidR="00A24EC0" w:rsidRPr="00250E7D" w:rsidRDefault="00A24EC0" w:rsidP="00676E6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1 17 01050 05 0000 180</w:t>
            </w:r>
          </w:p>
        </w:tc>
        <w:tc>
          <w:tcPr>
            <w:tcW w:w="6521" w:type="dxa"/>
          </w:tcPr>
          <w:p w:rsidR="00A24EC0" w:rsidRPr="00250E7D" w:rsidRDefault="00A24EC0" w:rsidP="00676E6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Невыясненные поступления, зачисляемые в    бюджеты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366C0" w:rsidRPr="007839AF" w:rsidRDefault="007366C0" w:rsidP="005B14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7AC">
        <w:rPr>
          <w:sz w:val="28"/>
          <w:szCs w:val="28"/>
        </w:rPr>
        <w:t>2</w:t>
      </w:r>
      <w:r w:rsidR="005B1431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Доходы, получаемые в виде арендной платы за земельные участки</w:t>
      </w:r>
      <w:r w:rsidR="005B1431">
        <w:rPr>
          <w:sz w:val="28"/>
          <w:szCs w:val="28"/>
        </w:rPr>
        <w:t>,</w:t>
      </w:r>
      <w:r w:rsidRPr="007839AF">
        <w:rPr>
          <w:sz w:val="28"/>
          <w:szCs w:val="28"/>
        </w:rPr>
        <w:t xml:space="preserve"> рассчитыва</w:t>
      </w:r>
      <w:r w:rsidR="00B54069"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5B1431" w:rsidRDefault="007366C0" w:rsidP="005B1431">
      <w:pPr>
        <w:pStyle w:val="ConsPlus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АПЗУ</w:t>
      </w:r>
      <w:r w:rsidRPr="007839A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ПЗапзу</w:t>
      </w:r>
      <w:proofErr w:type="spellEnd"/>
      <w:r w:rsidRPr="007839AF">
        <w:rPr>
          <w:sz w:val="28"/>
          <w:szCs w:val="28"/>
        </w:rPr>
        <w:t xml:space="preserve">, </w:t>
      </w:r>
    </w:p>
    <w:p w:rsidR="007366C0" w:rsidRPr="007839AF" w:rsidRDefault="007366C0" w:rsidP="005B1431">
      <w:pPr>
        <w:pStyle w:val="ConsPlusNormal"/>
        <w:ind w:firstLine="709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366C0" w:rsidRPr="007839AF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АПЗУ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за земельные участки</w:t>
      </w:r>
      <w:r w:rsidR="007366C0" w:rsidRPr="007839AF">
        <w:rPr>
          <w:sz w:val="28"/>
          <w:szCs w:val="28"/>
        </w:rPr>
        <w:t>, тыс. рублей;</w:t>
      </w:r>
    </w:p>
    <w:p w:rsidR="007366C0" w:rsidRPr="007839AF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ПЗапзу</w:t>
      </w:r>
      <w:proofErr w:type="spellEnd"/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66C0"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арендной платы за земельные участки</w:t>
      </w:r>
      <w:r w:rsidR="007366C0" w:rsidRPr="007839AF">
        <w:rPr>
          <w:sz w:val="28"/>
          <w:szCs w:val="28"/>
        </w:rPr>
        <w:t>, тыс. рублей.</w:t>
      </w:r>
    </w:p>
    <w:p w:rsidR="00B54069" w:rsidRDefault="00B54069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5B1431" w:rsidRDefault="005B1431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5B1431" w:rsidRDefault="005B1431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B54069" w:rsidRPr="007839AF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B67AC">
        <w:rPr>
          <w:sz w:val="28"/>
          <w:szCs w:val="28"/>
        </w:rPr>
        <w:t>3</w:t>
      </w:r>
      <w:r>
        <w:rPr>
          <w:sz w:val="28"/>
          <w:szCs w:val="28"/>
        </w:rPr>
        <w:t>. Доходы, получаемые в виде арендной платы за имущество</w:t>
      </w:r>
      <w:r w:rsidR="005B1431">
        <w:rPr>
          <w:sz w:val="28"/>
          <w:szCs w:val="28"/>
        </w:rPr>
        <w:t>,</w:t>
      </w:r>
      <w:r w:rsidRPr="007839AF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5B1431" w:rsidRDefault="00B54069" w:rsidP="005B1431">
      <w:pPr>
        <w:pStyle w:val="ConsPlus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АПИ</w:t>
      </w:r>
      <w:r w:rsidRPr="007839A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ПЗапи</w:t>
      </w:r>
      <w:r w:rsidR="005B1431">
        <w:rPr>
          <w:sz w:val="28"/>
          <w:szCs w:val="28"/>
        </w:rPr>
        <w:t>,</w:t>
      </w:r>
      <w:proofErr w:type="spellEnd"/>
    </w:p>
    <w:p w:rsidR="00B54069" w:rsidRPr="007839AF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B54069" w:rsidRPr="007839AF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арендная плата за имущество</w:t>
      </w:r>
      <w:r w:rsidRPr="007839AF">
        <w:rPr>
          <w:sz w:val="28"/>
          <w:szCs w:val="28"/>
        </w:rPr>
        <w:t>, тыс. рублей;</w:t>
      </w:r>
    </w:p>
    <w:p w:rsidR="00B54069" w:rsidRPr="007839AF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ПЗапи</w:t>
      </w:r>
      <w:proofErr w:type="spellEnd"/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арендной платы за имущество</w:t>
      </w:r>
      <w:r w:rsidR="00D30A33">
        <w:rPr>
          <w:sz w:val="28"/>
          <w:szCs w:val="28"/>
        </w:rPr>
        <w:t>,</w:t>
      </w:r>
      <w:r w:rsidRPr="007839AF">
        <w:rPr>
          <w:sz w:val="28"/>
          <w:szCs w:val="28"/>
        </w:rPr>
        <w:t xml:space="preserve"> </w:t>
      </w:r>
      <w:r w:rsidR="00D30A33">
        <w:rPr>
          <w:sz w:val="28"/>
          <w:szCs w:val="28"/>
        </w:rPr>
        <w:br/>
      </w:r>
      <w:r w:rsidRPr="007839AF">
        <w:rPr>
          <w:sz w:val="28"/>
          <w:szCs w:val="28"/>
        </w:rPr>
        <w:t>тыс. рублей.</w:t>
      </w:r>
    </w:p>
    <w:p w:rsidR="00B54069" w:rsidRDefault="00B54069" w:rsidP="005B1431">
      <w:pPr>
        <w:pStyle w:val="ConsPlusNormal"/>
        <w:ind w:firstLine="709"/>
        <w:jc w:val="both"/>
        <w:rPr>
          <w:sz w:val="28"/>
          <w:szCs w:val="28"/>
        </w:rPr>
      </w:pPr>
    </w:p>
    <w:p w:rsidR="00B54069" w:rsidRPr="007839AF" w:rsidRDefault="00B54069" w:rsidP="00D30A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7AC">
        <w:rPr>
          <w:sz w:val="28"/>
          <w:szCs w:val="28"/>
        </w:rPr>
        <w:t>4</w:t>
      </w:r>
      <w:r>
        <w:rPr>
          <w:sz w:val="28"/>
          <w:szCs w:val="28"/>
        </w:rPr>
        <w:t>. Прочие поступления от использования имущества</w:t>
      </w:r>
      <w:r w:rsidRPr="007839AF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7839AF">
        <w:rPr>
          <w:sz w:val="28"/>
          <w:szCs w:val="28"/>
        </w:rPr>
        <w:t>тся методом прямого счета по следующей формуле:</w:t>
      </w:r>
    </w:p>
    <w:p w:rsidR="00D30A33" w:rsidRDefault="00B54069" w:rsidP="00D30A33">
      <w:pPr>
        <w:pStyle w:val="ConsPlus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ППИИ</w:t>
      </w:r>
      <w:r w:rsidRPr="007839AF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ПЗппии</w:t>
      </w:r>
      <w:proofErr w:type="spellEnd"/>
      <w:r w:rsidRPr="007839AF">
        <w:rPr>
          <w:sz w:val="28"/>
          <w:szCs w:val="28"/>
        </w:rPr>
        <w:t xml:space="preserve">, </w:t>
      </w:r>
    </w:p>
    <w:p w:rsidR="00B54069" w:rsidRPr="007839AF" w:rsidRDefault="00B54069" w:rsidP="00D30A3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B54069" w:rsidRPr="007839AF" w:rsidRDefault="00B54069" w:rsidP="00D30A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ППИИ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поступления от использования имущества</w:t>
      </w:r>
      <w:r w:rsidRPr="007839AF">
        <w:rPr>
          <w:sz w:val="28"/>
          <w:szCs w:val="28"/>
        </w:rPr>
        <w:t xml:space="preserve">, </w:t>
      </w:r>
      <w:r w:rsidR="00D30A33">
        <w:rPr>
          <w:sz w:val="28"/>
          <w:szCs w:val="28"/>
        </w:rPr>
        <w:br/>
      </w:r>
      <w:r w:rsidRPr="007839AF">
        <w:rPr>
          <w:sz w:val="28"/>
          <w:szCs w:val="28"/>
        </w:rPr>
        <w:t>тыс. рублей;</w:t>
      </w:r>
    </w:p>
    <w:p w:rsidR="00B54069" w:rsidRPr="007839AF" w:rsidRDefault="00B54069" w:rsidP="00D30A3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ПЗппии</w:t>
      </w:r>
      <w:proofErr w:type="spellEnd"/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значения прочих поступлений от использования имуществом,</w:t>
      </w:r>
      <w:r w:rsidRPr="007839AF">
        <w:rPr>
          <w:sz w:val="28"/>
          <w:szCs w:val="28"/>
        </w:rPr>
        <w:t xml:space="preserve"> тыс. рублей.</w:t>
      </w:r>
    </w:p>
    <w:p w:rsidR="00B54069" w:rsidRDefault="008B67AC" w:rsidP="00D30A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значения прочих поступлений от использования имущества рассчитываются с учетом динамики показателя собираемости дохода в предшествующие периоды (за период</w:t>
      </w:r>
      <w:r w:rsidR="005E6550">
        <w:rPr>
          <w:sz w:val="28"/>
          <w:szCs w:val="28"/>
        </w:rPr>
        <w:t xml:space="preserve"> не более трех лет).</w:t>
      </w:r>
    </w:p>
    <w:p w:rsidR="005E6550" w:rsidRDefault="005E6550" w:rsidP="00D30A33">
      <w:pPr>
        <w:pStyle w:val="ConsPlusNormal"/>
        <w:ind w:firstLine="709"/>
        <w:jc w:val="both"/>
        <w:rPr>
          <w:sz w:val="28"/>
          <w:szCs w:val="28"/>
        </w:rPr>
      </w:pPr>
    </w:p>
    <w:p w:rsidR="007839AF" w:rsidRPr="007839AF" w:rsidRDefault="0048239A" w:rsidP="00D30A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7A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30A33">
        <w:rPr>
          <w:sz w:val="28"/>
          <w:szCs w:val="28"/>
        </w:rPr>
        <w:t xml:space="preserve"> </w:t>
      </w:r>
      <w:r w:rsidR="005E6550">
        <w:rPr>
          <w:sz w:val="28"/>
          <w:szCs w:val="28"/>
        </w:rPr>
        <w:t>Д</w:t>
      </w:r>
      <w:r w:rsidR="007839AF" w:rsidRPr="007839AF">
        <w:rPr>
          <w:sz w:val="28"/>
          <w:szCs w:val="28"/>
        </w:rPr>
        <w:t xml:space="preserve">оходы от </w:t>
      </w:r>
      <w:r>
        <w:rPr>
          <w:sz w:val="28"/>
          <w:szCs w:val="28"/>
        </w:rPr>
        <w:t xml:space="preserve">компенсации затрат </w:t>
      </w:r>
      <w:r w:rsidR="005E6550">
        <w:rPr>
          <w:sz w:val="28"/>
          <w:szCs w:val="28"/>
        </w:rPr>
        <w:t>государства, в том числе доходы, поступающие в порядке возмещения расходов, понесенных в связи с эксплуатацией имущества</w:t>
      </w:r>
      <w:r w:rsidR="00D30A33">
        <w:rPr>
          <w:sz w:val="28"/>
          <w:szCs w:val="28"/>
        </w:rPr>
        <w:t>,</w:t>
      </w:r>
      <w:r w:rsidR="007839AF"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D30A33" w:rsidRDefault="007839AF" w:rsidP="00D30A33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= </w:t>
      </w:r>
      <w:proofErr w:type="spellStart"/>
      <w:r w:rsidR="0048239A">
        <w:rPr>
          <w:sz w:val="28"/>
          <w:szCs w:val="28"/>
        </w:rPr>
        <w:t>ПЗпдкз</w:t>
      </w:r>
      <w:r w:rsidR="00D30A33">
        <w:rPr>
          <w:sz w:val="28"/>
          <w:szCs w:val="28"/>
        </w:rPr>
        <w:t>,</w:t>
      </w:r>
      <w:proofErr w:type="spellEnd"/>
    </w:p>
    <w:p w:rsidR="007839AF" w:rsidRPr="007839AF" w:rsidRDefault="007839AF" w:rsidP="00D30A3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D30A3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</w:t>
      </w:r>
      <w:r w:rsidR="00D30A33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</w:t>
      </w:r>
      <w:r w:rsidR="00D30A33">
        <w:rPr>
          <w:sz w:val="28"/>
          <w:szCs w:val="28"/>
        </w:rPr>
        <w:t>д</w:t>
      </w:r>
      <w:r w:rsidR="005E6550" w:rsidRPr="007839AF">
        <w:rPr>
          <w:sz w:val="28"/>
          <w:szCs w:val="28"/>
        </w:rPr>
        <w:t xml:space="preserve">оходы от </w:t>
      </w:r>
      <w:r w:rsidR="005E6550">
        <w:rPr>
          <w:sz w:val="28"/>
          <w:szCs w:val="28"/>
        </w:rPr>
        <w:t>компенсации затрат государства, в том числе доходы, поступающие в порядке возмещения расходов, понесенных в связи с эксплуатацией имущества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48239A" w:rsidP="00D30A3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ПЗпдкз</w:t>
      </w:r>
      <w:proofErr w:type="spellEnd"/>
      <w:r w:rsidR="007839AF" w:rsidRPr="007839AF">
        <w:rPr>
          <w:sz w:val="28"/>
          <w:szCs w:val="28"/>
        </w:rPr>
        <w:t xml:space="preserve"> </w:t>
      </w:r>
      <w:r w:rsidR="00D30A33">
        <w:rPr>
          <w:sz w:val="28"/>
          <w:szCs w:val="28"/>
        </w:rPr>
        <w:t>–</w:t>
      </w:r>
      <w:r w:rsidR="007839AF" w:rsidRPr="007839AF">
        <w:rPr>
          <w:sz w:val="28"/>
          <w:szCs w:val="28"/>
        </w:rPr>
        <w:t xml:space="preserve"> фактические поступления в бюджет </w:t>
      </w:r>
      <w:r w:rsidR="00D30A33">
        <w:rPr>
          <w:sz w:val="28"/>
          <w:szCs w:val="28"/>
        </w:rPr>
        <w:t>д</w:t>
      </w:r>
      <w:r w:rsidR="005E6550" w:rsidRPr="007839AF">
        <w:rPr>
          <w:sz w:val="28"/>
          <w:szCs w:val="28"/>
        </w:rPr>
        <w:t>оход</w:t>
      </w:r>
      <w:r w:rsidR="00D30A33">
        <w:rPr>
          <w:sz w:val="28"/>
          <w:szCs w:val="28"/>
        </w:rPr>
        <w:t>ов</w:t>
      </w:r>
      <w:r w:rsidR="005E6550" w:rsidRPr="007839AF">
        <w:rPr>
          <w:sz w:val="28"/>
          <w:szCs w:val="28"/>
        </w:rPr>
        <w:t xml:space="preserve"> от </w:t>
      </w:r>
      <w:r w:rsidR="005E6550">
        <w:rPr>
          <w:sz w:val="28"/>
          <w:szCs w:val="28"/>
        </w:rPr>
        <w:t>компенсации затрат государства, в том числе доходы, поступающие в порядке возмещения расходов, понесенных в связи с эксплуатацией имущества</w:t>
      </w:r>
      <w:r w:rsidR="007839AF" w:rsidRPr="007839AF">
        <w:rPr>
          <w:sz w:val="28"/>
          <w:szCs w:val="28"/>
        </w:rPr>
        <w:t>, тыс. рублей.</w:t>
      </w:r>
    </w:p>
    <w:p w:rsidR="0048239A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7839AF" w:rsidP="00D30A3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5E6550">
        <w:rPr>
          <w:sz w:val="28"/>
          <w:szCs w:val="28"/>
        </w:rPr>
        <w:t>6</w:t>
      </w:r>
      <w:r w:rsidR="00D30A33">
        <w:rPr>
          <w:sz w:val="28"/>
          <w:szCs w:val="28"/>
        </w:rPr>
        <w:t>.</w:t>
      </w:r>
      <w:r w:rsidRPr="007839AF">
        <w:rPr>
          <w:sz w:val="28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рассчитываются методом усреднения и экстраполяции по следующей формуле:</w:t>
      </w:r>
    </w:p>
    <w:p w:rsidR="00D30A33" w:rsidRDefault="007839AF" w:rsidP="00D30A33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 xml:space="preserve">ПДВ = </w:t>
      </w:r>
      <w:proofErr w:type="spellStart"/>
      <w:r w:rsidRPr="007839AF">
        <w:rPr>
          <w:sz w:val="28"/>
          <w:szCs w:val="28"/>
        </w:rPr>
        <w:t>УПпдв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ПДВ </w:t>
      </w:r>
      <w:r w:rsidR="00070CD3">
        <w:rPr>
          <w:sz w:val="28"/>
          <w:szCs w:val="28"/>
        </w:rPr>
        <w:t xml:space="preserve">– прочие поступления в </w:t>
      </w:r>
      <w:r w:rsidRPr="007839AF">
        <w:rPr>
          <w:sz w:val="28"/>
          <w:szCs w:val="28"/>
        </w:rPr>
        <w:t xml:space="preserve">бюджет от денежных взысканий (штрафов) и иных сумм в возмещение ущерба, зачисляемых в бюджеты </w:t>
      </w:r>
      <w:r w:rsidR="00205890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lastRenderedPageBreak/>
        <w:t>УПпдв</w:t>
      </w:r>
      <w:proofErr w:type="spellEnd"/>
      <w:r w:rsidRPr="007839AF">
        <w:rPr>
          <w:sz w:val="28"/>
          <w:szCs w:val="28"/>
        </w:rPr>
        <w:t xml:space="preserve"> </w:t>
      </w:r>
      <w:r w:rsidR="00070CD3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усредненные прочие поступления в бюджет от денежных взысканий (штрафов) и иных сумм в возмещение ущерба, зачисляемых </w:t>
      </w:r>
      <w:r w:rsidR="00EE2BD3">
        <w:rPr>
          <w:sz w:val="28"/>
          <w:szCs w:val="28"/>
        </w:rPr>
        <w:br/>
      </w:r>
      <w:r w:rsidRPr="007839AF">
        <w:rPr>
          <w:sz w:val="28"/>
          <w:szCs w:val="28"/>
        </w:rPr>
        <w:t>в бюджеты</w:t>
      </w:r>
      <w:r w:rsidR="00205890">
        <w:rPr>
          <w:sz w:val="28"/>
          <w:szCs w:val="28"/>
        </w:rPr>
        <w:t xml:space="preserve"> районов</w:t>
      </w:r>
      <w:r w:rsidRPr="007839AF">
        <w:rPr>
          <w:sz w:val="28"/>
          <w:szCs w:val="28"/>
        </w:rPr>
        <w:t xml:space="preserve">, определяемые путем усреднения годовых объемов указанных доходов в соответствии с бюджетной отчетностью за </w:t>
      </w:r>
      <w:r w:rsidR="0048239A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</w:t>
      </w:r>
      <w:r w:rsidR="00EE2BD3">
        <w:rPr>
          <w:sz w:val="28"/>
          <w:szCs w:val="28"/>
        </w:rPr>
        <w:br/>
      </w:r>
      <w:r w:rsidRPr="007839AF">
        <w:rPr>
          <w:sz w:val="28"/>
          <w:szCs w:val="28"/>
        </w:rPr>
        <w:t xml:space="preserve">за весь период их поступления в случае, если он не превышает </w:t>
      </w:r>
      <w:r w:rsidR="0048239A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</w:t>
      </w:r>
      <w:r w:rsidR="00070CD3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EE2BD3">
        <w:rPr>
          <w:sz w:val="28"/>
          <w:szCs w:val="28"/>
        </w:rPr>
        <w:t>Ф</w:t>
      </w:r>
      <w:r w:rsidR="00C2001D">
        <w:rPr>
          <w:sz w:val="28"/>
          <w:szCs w:val="28"/>
        </w:rPr>
        <w:t>инансового отдела</w:t>
      </w:r>
      <w:r w:rsidR="00EA50BA">
        <w:rPr>
          <w:sz w:val="28"/>
          <w:szCs w:val="28"/>
        </w:rPr>
        <w:t xml:space="preserve"> Администрации МО «Ленский муниципальный район»</w:t>
      </w:r>
      <w:r w:rsidRPr="007839AF">
        <w:rPr>
          <w:sz w:val="28"/>
          <w:szCs w:val="28"/>
        </w:rPr>
        <w:t>.</w:t>
      </w:r>
      <w:proofErr w:type="gramEnd"/>
    </w:p>
    <w:p w:rsidR="00070CD3" w:rsidRPr="007839AF" w:rsidRDefault="00070CD3" w:rsidP="00070CD3">
      <w:pPr>
        <w:pStyle w:val="ConsPlusNormal"/>
        <w:ind w:firstLine="709"/>
        <w:jc w:val="both"/>
        <w:rPr>
          <w:sz w:val="28"/>
          <w:szCs w:val="28"/>
        </w:rPr>
      </w:pP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5E6550">
        <w:rPr>
          <w:sz w:val="28"/>
          <w:szCs w:val="28"/>
        </w:rPr>
        <w:t>7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070CD3" w:rsidRDefault="007839AF" w:rsidP="00070CD3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 xml:space="preserve">ПНД = </w:t>
      </w: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ПНД </w:t>
      </w:r>
      <w:r w:rsidR="00070CD3">
        <w:rPr>
          <w:sz w:val="28"/>
          <w:szCs w:val="28"/>
        </w:rPr>
        <w:t>–</w:t>
      </w:r>
      <w:r w:rsidR="00EA50BA">
        <w:rPr>
          <w:sz w:val="28"/>
          <w:szCs w:val="28"/>
        </w:rPr>
        <w:t xml:space="preserve"> прочие неналоговые доходы </w:t>
      </w:r>
      <w:r w:rsidRPr="007839AF">
        <w:rPr>
          <w:sz w:val="28"/>
          <w:szCs w:val="28"/>
        </w:rPr>
        <w:t>бюджета, тыс. рублей;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r w:rsidR="00070CD3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D07315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D07315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070CD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</w:t>
      </w:r>
      <w:r w:rsidR="00070CD3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1B2266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="001B2266">
        <w:rPr>
          <w:sz w:val="28"/>
          <w:szCs w:val="28"/>
        </w:rPr>
        <w:t xml:space="preserve"> Администрации МО «Ленский муниципальный район»</w:t>
      </w:r>
      <w:r w:rsidRPr="007839AF">
        <w:rPr>
          <w:sz w:val="28"/>
          <w:szCs w:val="28"/>
        </w:rPr>
        <w:t>.</w:t>
      </w:r>
      <w:proofErr w:type="gramEnd"/>
    </w:p>
    <w:p w:rsidR="00070CD3" w:rsidRDefault="00070CD3" w:rsidP="00070CD3">
      <w:pPr>
        <w:pStyle w:val="ConsPlusNormal"/>
        <w:ind w:firstLine="709"/>
        <w:jc w:val="both"/>
        <w:rPr>
          <w:sz w:val="28"/>
          <w:szCs w:val="28"/>
        </w:rPr>
      </w:pPr>
    </w:p>
    <w:p w:rsidR="007839AF" w:rsidRDefault="005E6550" w:rsidP="00070C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расчете прогнозного объема поступлений доходов могут использоваться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</w:t>
      </w:r>
      <w:r w:rsidR="006777FF">
        <w:rPr>
          <w:sz w:val="28"/>
          <w:szCs w:val="28"/>
        </w:rPr>
        <w:t xml:space="preserve">финансов Российской Федерации, финансовых органов субъектов Российской Федерации или </w:t>
      </w:r>
      <w:r w:rsidR="00EA50BA">
        <w:rPr>
          <w:sz w:val="28"/>
          <w:szCs w:val="28"/>
        </w:rPr>
        <w:t>Ф</w:t>
      </w:r>
      <w:r w:rsidR="006777FF">
        <w:rPr>
          <w:sz w:val="28"/>
          <w:szCs w:val="28"/>
        </w:rPr>
        <w:t xml:space="preserve">инансового </w:t>
      </w:r>
      <w:r w:rsidR="00EA50BA">
        <w:rPr>
          <w:sz w:val="28"/>
          <w:szCs w:val="28"/>
        </w:rPr>
        <w:t>отдела</w:t>
      </w:r>
      <w:r w:rsidR="006777FF">
        <w:rPr>
          <w:sz w:val="28"/>
          <w:szCs w:val="28"/>
        </w:rPr>
        <w:t xml:space="preserve"> Администрации МО «Ленский муниципальный район».</w:t>
      </w:r>
    </w:p>
    <w:p w:rsidR="006777FF" w:rsidRPr="007839AF" w:rsidRDefault="006777F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3.1. Безвозмездные поступления в бюджет, главным администратором которых является </w:t>
      </w:r>
      <w:r w:rsidR="0006145F">
        <w:rPr>
          <w:sz w:val="28"/>
          <w:szCs w:val="28"/>
        </w:rPr>
        <w:t>Администрация МО</w:t>
      </w:r>
      <w:r w:rsidRPr="007839AF">
        <w:rPr>
          <w:sz w:val="28"/>
          <w:szCs w:val="28"/>
        </w:rPr>
        <w:t xml:space="preserve"> (далее </w:t>
      </w:r>
      <w:r w:rsidR="00EA50BA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безвозмездные поступления), включают:</w:t>
      </w:r>
    </w:p>
    <w:p w:rsid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lastRenderedPageBreak/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p w:rsidR="00EA50BA" w:rsidRPr="007839AF" w:rsidRDefault="00EA50BA" w:rsidP="007839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3227"/>
        <w:gridCol w:w="6237"/>
      </w:tblGrid>
      <w:tr w:rsidR="00C2001D" w:rsidRPr="007839AF" w:rsidTr="00EA50BA">
        <w:tc>
          <w:tcPr>
            <w:tcW w:w="3227" w:type="dxa"/>
          </w:tcPr>
          <w:p w:rsidR="00C2001D" w:rsidRPr="007839AF" w:rsidRDefault="00C2001D" w:rsidP="00676E60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237" w:type="dxa"/>
          </w:tcPr>
          <w:p w:rsidR="00C2001D" w:rsidRPr="007839AF" w:rsidRDefault="00C2001D" w:rsidP="00676E60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A24EC0" w:rsidRPr="00250E7D" w:rsidTr="00EA50BA">
        <w:tc>
          <w:tcPr>
            <w:tcW w:w="3227" w:type="dxa"/>
          </w:tcPr>
          <w:p w:rsidR="00A24EC0" w:rsidRDefault="00A24EC0" w:rsidP="007C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</w:t>
            </w:r>
            <w:r w:rsidR="007C347E">
              <w:rPr>
                <w:sz w:val="28"/>
                <w:szCs w:val="28"/>
              </w:rPr>
              <w:t>0299</w:t>
            </w:r>
            <w:r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A24EC0" w:rsidRDefault="00A24EC0" w:rsidP="007C34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обеспечение </w:t>
            </w:r>
            <w:r w:rsidR="007C347E">
              <w:rPr>
                <w:rFonts w:ascii="Times New Roman" w:hAnsi="Times New Roman" w:cs="Times New Roman"/>
                <w:sz w:val="28"/>
                <w:szCs w:val="28"/>
              </w:rPr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поступающих от государственной корпорации</w:t>
            </w:r>
            <w:r w:rsidR="00EA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4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47E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 хозяйства</w:t>
            </w:r>
          </w:p>
        </w:tc>
      </w:tr>
      <w:tr w:rsidR="00A24EC0" w:rsidRPr="00250E7D" w:rsidTr="00EA50BA">
        <w:tc>
          <w:tcPr>
            <w:tcW w:w="3227" w:type="dxa"/>
          </w:tcPr>
          <w:p w:rsidR="00A24EC0" w:rsidRPr="00250E7D" w:rsidRDefault="00A24EC0" w:rsidP="0067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237" w:type="dxa"/>
          </w:tcPr>
          <w:p w:rsidR="00A24EC0" w:rsidRPr="00250E7D" w:rsidRDefault="00EA50BA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r w:rsidR="00A24EC0" w:rsidRPr="00250E7D">
              <w:rPr>
                <w:rFonts w:ascii="Times New Roman" w:hAnsi="Times New Roman" w:cs="Times New Roman"/>
                <w:sz w:val="28"/>
                <w:szCs w:val="28"/>
              </w:rPr>
              <w:t>муниципальных   районов</w:t>
            </w:r>
          </w:p>
        </w:tc>
      </w:tr>
      <w:tr w:rsidR="00A24EC0" w:rsidRPr="00250E7D" w:rsidTr="00EA50BA">
        <w:tc>
          <w:tcPr>
            <w:tcW w:w="3227" w:type="dxa"/>
          </w:tcPr>
          <w:p w:rsidR="00A24EC0" w:rsidRDefault="00A24EC0" w:rsidP="0067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202 35082 05 0000 151</w:t>
            </w:r>
          </w:p>
        </w:tc>
        <w:tc>
          <w:tcPr>
            <w:tcW w:w="6237" w:type="dxa"/>
          </w:tcPr>
          <w:p w:rsidR="00A24EC0" w:rsidRPr="00250E7D" w:rsidRDefault="00A24EC0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</w:t>
            </w:r>
            <w:r w:rsidR="00EA50BA">
              <w:rPr>
                <w:rFonts w:ascii="Times New Roman" w:hAnsi="Times New Roman" w:cs="Times New Roman"/>
                <w:sz w:val="28"/>
                <w:szCs w:val="28"/>
              </w:rPr>
              <w:t>етям-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4EC0" w:rsidRPr="00250E7D" w:rsidTr="00EA50BA">
        <w:tc>
          <w:tcPr>
            <w:tcW w:w="3227" w:type="dxa"/>
          </w:tcPr>
          <w:p w:rsidR="00A24EC0" w:rsidRPr="00250E7D" w:rsidRDefault="00A24EC0" w:rsidP="00EA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A24EC0" w:rsidRPr="00250E7D" w:rsidRDefault="00A24EC0" w:rsidP="00676E60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4EC0" w:rsidRPr="00250E7D" w:rsidTr="00EA50BA">
        <w:tc>
          <w:tcPr>
            <w:tcW w:w="3227" w:type="dxa"/>
          </w:tcPr>
          <w:p w:rsidR="00A24EC0" w:rsidRPr="00250E7D" w:rsidRDefault="00A24EC0" w:rsidP="0067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="00EA50BA">
              <w:rPr>
                <w:sz w:val="28"/>
                <w:szCs w:val="28"/>
              </w:rPr>
              <w:t>024 05 0000 151</w:t>
            </w:r>
          </w:p>
        </w:tc>
        <w:tc>
          <w:tcPr>
            <w:tcW w:w="6237" w:type="dxa"/>
          </w:tcPr>
          <w:p w:rsidR="00A24EC0" w:rsidRPr="00250E7D" w:rsidRDefault="00EA50BA" w:rsidP="00EA5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="00A24EC0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районов на выполнение передаваемых полномочий субъектов Российской </w:t>
            </w:r>
            <w:r w:rsidR="00A24EC0" w:rsidRPr="00250E7D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</w:tr>
      <w:tr w:rsidR="007C347E" w:rsidRPr="00250E7D" w:rsidTr="00EA50BA">
        <w:tc>
          <w:tcPr>
            <w:tcW w:w="3227" w:type="dxa"/>
          </w:tcPr>
          <w:p w:rsidR="007C347E" w:rsidRPr="00250E7D" w:rsidRDefault="007C347E" w:rsidP="007C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2 02 39998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7C347E" w:rsidRPr="00250E7D" w:rsidRDefault="007C347E" w:rsidP="007C34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с</w:t>
            </w: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убвенци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A50BA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  <w:tr w:rsidR="007C347E" w:rsidRPr="00250E7D" w:rsidTr="00EA50BA">
        <w:tc>
          <w:tcPr>
            <w:tcW w:w="3227" w:type="dxa"/>
          </w:tcPr>
          <w:p w:rsidR="007C347E" w:rsidRPr="00250E7D" w:rsidRDefault="007C347E" w:rsidP="0067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</w:t>
            </w:r>
            <w:r w:rsidR="00EA50BA">
              <w:rPr>
                <w:sz w:val="28"/>
                <w:szCs w:val="28"/>
              </w:rPr>
              <w:t>999 05 0000 151</w:t>
            </w:r>
          </w:p>
        </w:tc>
        <w:tc>
          <w:tcPr>
            <w:tcW w:w="6237" w:type="dxa"/>
          </w:tcPr>
          <w:p w:rsidR="007C347E" w:rsidRPr="00250E7D" w:rsidRDefault="007C347E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7C347E" w:rsidRPr="00250E7D" w:rsidTr="00EA50BA">
        <w:tc>
          <w:tcPr>
            <w:tcW w:w="3227" w:type="dxa"/>
          </w:tcPr>
          <w:p w:rsidR="007C347E" w:rsidRPr="00250E7D" w:rsidRDefault="007C347E" w:rsidP="00676E6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237" w:type="dxa"/>
          </w:tcPr>
          <w:p w:rsidR="007C347E" w:rsidRPr="00250E7D" w:rsidRDefault="007C347E" w:rsidP="00676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</w:t>
            </w:r>
            <w:r w:rsidR="00EA50BA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2) доходы,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3227"/>
        <w:gridCol w:w="6237"/>
      </w:tblGrid>
      <w:tr w:rsidR="00C2001D" w:rsidRPr="007839AF" w:rsidTr="00EA50BA">
        <w:tc>
          <w:tcPr>
            <w:tcW w:w="3227" w:type="dxa"/>
          </w:tcPr>
          <w:p w:rsidR="00C2001D" w:rsidRPr="007839AF" w:rsidRDefault="00C2001D" w:rsidP="00676E60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237" w:type="dxa"/>
          </w:tcPr>
          <w:p w:rsidR="00C2001D" w:rsidRPr="007839AF" w:rsidRDefault="00C2001D" w:rsidP="00676E60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BE04A4" w:rsidRPr="00250E7D" w:rsidTr="00EA50BA">
        <w:tc>
          <w:tcPr>
            <w:tcW w:w="3227" w:type="dxa"/>
          </w:tcPr>
          <w:p w:rsidR="00BE04A4" w:rsidRPr="00250E7D" w:rsidRDefault="00BE04A4" w:rsidP="00676E60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2 07 05030 05 0000 180</w:t>
            </w:r>
          </w:p>
        </w:tc>
        <w:tc>
          <w:tcPr>
            <w:tcW w:w="6237" w:type="dxa"/>
          </w:tcPr>
          <w:p w:rsidR="00BE04A4" w:rsidRPr="00250E7D" w:rsidRDefault="00EA50BA" w:rsidP="00676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</w:t>
            </w:r>
            <w:r w:rsidR="00BE04A4" w:rsidRPr="00250E7D">
              <w:rPr>
                <w:sz w:val="28"/>
                <w:szCs w:val="28"/>
              </w:rPr>
              <w:t>бюджеты муниципальных районов</w:t>
            </w:r>
          </w:p>
        </w:tc>
      </w:tr>
    </w:tbl>
    <w:p w:rsid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lastRenderedPageBreak/>
        <w:t>3.2. При прогнозировании безвозмездных поступлений применяется метод прямого расчета.</w:t>
      </w:r>
    </w:p>
    <w:p w:rsidR="00EA50BA" w:rsidRPr="007839AF" w:rsidRDefault="00EA50BA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EA50BA" w:rsidRPr="007839AF" w:rsidRDefault="00EA50BA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7839AF" w:rsidP="00EA50BA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EA50BA" w:rsidRDefault="007839AF" w:rsidP="00EA50BA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</w:t>
      </w:r>
    </w:p>
    <w:p w:rsidR="007839AF" w:rsidRP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</w:t>
      </w:r>
      <w:r w:rsidR="00EA50BA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РБ </w:t>
      </w:r>
      <w:r w:rsidR="00EA50BA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</w:r>
      <w:r w:rsidR="00EA50BA">
        <w:rPr>
          <w:sz w:val="28"/>
          <w:szCs w:val="28"/>
        </w:rPr>
        <w:t xml:space="preserve">анных с предоставление средств </w:t>
      </w:r>
      <w:r w:rsidRPr="007839AF">
        <w:rPr>
          <w:sz w:val="28"/>
          <w:szCs w:val="28"/>
        </w:rPr>
        <w:t>бюджету, тыс. рублей.</w:t>
      </w:r>
    </w:p>
    <w:p w:rsidR="00EA50BA" w:rsidRPr="007839AF" w:rsidRDefault="00EA50BA" w:rsidP="00EA50BA">
      <w:pPr>
        <w:pStyle w:val="ConsPlusNormal"/>
        <w:ind w:firstLine="709"/>
        <w:jc w:val="both"/>
        <w:rPr>
          <w:sz w:val="28"/>
          <w:szCs w:val="28"/>
        </w:rPr>
      </w:pPr>
    </w:p>
    <w:p w:rsid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бюджету.</w:t>
      </w:r>
    </w:p>
    <w:p w:rsidR="00EA50BA" w:rsidRPr="007839AF" w:rsidRDefault="00EA50BA" w:rsidP="00EA50BA">
      <w:pPr>
        <w:pStyle w:val="ConsPlusNormal"/>
        <w:ind w:firstLine="709"/>
        <w:jc w:val="both"/>
        <w:rPr>
          <w:sz w:val="28"/>
          <w:szCs w:val="28"/>
        </w:rPr>
      </w:pPr>
    </w:p>
    <w:p w:rsidR="007839AF" w:rsidRP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EA50BA" w:rsidRDefault="007839AF" w:rsidP="00005D48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</w:t>
      </w:r>
    </w:p>
    <w:p w:rsidR="007839AF" w:rsidRP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</w:t>
      </w:r>
      <w:r w:rsidR="00005D48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701390" w:rsidRPr="00701390" w:rsidRDefault="007839AF" w:rsidP="00EA50BA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ПП (ФБП) </w:t>
      </w:r>
      <w:r w:rsidR="00005D48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документально подтвержденные планируемые</w:t>
      </w:r>
      <w:r w:rsidR="00005D48">
        <w:rPr>
          <w:sz w:val="28"/>
          <w:szCs w:val="28"/>
        </w:rPr>
        <w:t xml:space="preserve"> объемы предоставления средств </w:t>
      </w:r>
      <w:r w:rsidRPr="007839AF">
        <w:rPr>
          <w:sz w:val="28"/>
          <w:szCs w:val="28"/>
        </w:rPr>
        <w:t>бюджету,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sectPr w:rsidR="00701390" w:rsidRPr="00701390" w:rsidSect="004E2B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BA" w:rsidRDefault="00EA50BA" w:rsidP="004E2B88">
      <w:r>
        <w:separator/>
      </w:r>
    </w:p>
  </w:endnote>
  <w:endnote w:type="continuationSeparator" w:id="0">
    <w:p w:rsidR="00EA50BA" w:rsidRDefault="00EA50BA" w:rsidP="004E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BA" w:rsidRDefault="00EA50BA" w:rsidP="004E2B88">
      <w:r>
        <w:separator/>
      </w:r>
    </w:p>
  </w:footnote>
  <w:footnote w:type="continuationSeparator" w:id="0">
    <w:p w:rsidR="00EA50BA" w:rsidRDefault="00EA50BA" w:rsidP="004E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8047"/>
      <w:docPartObj>
        <w:docPartGallery w:val="Page Numbers (Top of Page)"/>
        <w:docPartUnique/>
      </w:docPartObj>
    </w:sdtPr>
    <w:sdtContent>
      <w:p w:rsidR="00EA50BA" w:rsidRDefault="00EA50BA" w:rsidP="004E2B88">
        <w:pPr>
          <w:pStyle w:val="a7"/>
          <w:jc w:val="center"/>
        </w:pPr>
        <w:fldSimple w:instr=" PAGE   \* MERGEFORMAT ">
          <w:r w:rsidR="00005D4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2FC"/>
    <w:multiLevelType w:val="hybridMultilevel"/>
    <w:tmpl w:val="0E66B9E8"/>
    <w:lvl w:ilvl="0" w:tplc="7BFA9F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010"/>
    <w:multiLevelType w:val="hybridMultilevel"/>
    <w:tmpl w:val="C9FE99AA"/>
    <w:lvl w:ilvl="0" w:tplc="4F76D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05D48"/>
    <w:rsid w:val="00012A2E"/>
    <w:rsid w:val="00027C05"/>
    <w:rsid w:val="0006145F"/>
    <w:rsid w:val="00070CD3"/>
    <w:rsid w:val="00086118"/>
    <w:rsid w:val="00094B2A"/>
    <w:rsid w:val="001B2266"/>
    <w:rsid w:val="001D1F2C"/>
    <w:rsid w:val="001F1BC3"/>
    <w:rsid w:val="001F300B"/>
    <w:rsid w:val="001F49EA"/>
    <w:rsid w:val="00205890"/>
    <w:rsid w:val="002B3CE2"/>
    <w:rsid w:val="003518BE"/>
    <w:rsid w:val="0048239A"/>
    <w:rsid w:val="004E2B88"/>
    <w:rsid w:val="0051669C"/>
    <w:rsid w:val="005404DE"/>
    <w:rsid w:val="005B1431"/>
    <w:rsid w:val="005D3E3F"/>
    <w:rsid w:val="005D5A33"/>
    <w:rsid w:val="005E6550"/>
    <w:rsid w:val="00676E60"/>
    <w:rsid w:val="006777FF"/>
    <w:rsid w:val="00701390"/>
    <w:rsid w:val="007366C0"/>
    <w:rsid w:val="007839AF"/>
    <w:rsid w:val="007C347E"/>
    <w:rsid w:val="00867647"/>
    <w:rsid w:val="008B67AC"/>
    <w:rsid w:val="009A26BB"/>
    <w:rsid w:val="00A04CFB"/>
    <w:rsid w:val="00A24EC0"/>
    <w:rsid w:val="00B54069"/>
    <w:rsid w:val="00B97D0D"/>
    <w:rsid w:val="00BE04A4"/>
    <w:rsid w:val="00C2001D"/>
    <w:rsid w:val="00D07315"/>
    <w:rsid w:val="00D30A33"/>
    <w:rsid w:val="00DF65EF"/>
    <w:rsid w:val="00E200A3"/>
    <w:rsid w:val="00E81424"/>
    <w:rsid w:val="00E87CDC"/>
    <w:rsid w:val="00E90660"/>
    <w:rsid w:val="00EA50BA"/>
    <w:rsid w:val="00EE2BD3"/>
    <w:rsid w:val="00F32E16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E2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2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E7BC35ACBD59767F50A653C37277A0176512512E0908B6494C41CD2Y1U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E7BC35ACBD59767F50A653C37277A0176512E13EE908B6494C41CD21C281EF32139A09E1FY0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18</cp:revision>
  <cp:lastPrinted>2020-11-11T06:50:00Z</cp:lastPrinted>
  <dcterms:created xsi:type="dcterms:W3CDTF">2016-10-08T09:08:00Z</dcterms:created>
  <dcterms:modified xsi:type="dcterms:W3CDTF">2020-11-11T08:20:00Z</dcterms:modified>
</cp:coreProperties>
</file>